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BCDF" w14:textId="1AFCD10C" w:rsidR="00FC028C" w:rsidRPr="00F37645" w:rsidRDefault="00FC028C" w:rsidP="00FC028C">
      <w:pPr>
        <w:jc w:val="center"/>
        <w:rPr>
          <w:rFonts w:ascii="Times New Roman" w:hAnsi="Times New Roman" w:cs="Times New Roman"/>
          <w:b/>
          <w:bCs/>
          <w:sz w:val="24"/>
          <w:szCs w:val="24"/>
        </w:rPr>
      </w:pPr>
      <w:r w:rsidRPr="00791C00">
        <w:rPr>
          <w:rFonts w:ascii="Times New Roman" w:hAnsi="Times New Roman" w:cs="Times New Roman"/>
          <w:b/>
          <w:bCs/>
          <w:sz w:val="24"/>
          <w:szCs w:val="24"/>
          <w:highlight w:val="cyan"/>
        </w:rPr>
        <w:t>[</w:t>
      </w:r>
      <w:r w:rsidR="001D26EC" w:rsidRPr="00791C00">
        <w:rPr>
          <w:rFonts w:ascii="Times New Roman" w:hAnsi="Times New Roman" w:cs="Times New Roman"/>
          <w:b/>
          <w:bCs/>
          <w:sz w:val="24"/>
          <w:szCs w:val="24"/>
          <w:highlight w:val="cyan"/>
        </w:rPr>
        <w:t xml:space="preserve">Insert </w:t>
      </w:r>
      <w:r w:rsidRPr="00791C00">
        <w:rPr>
          <w:rFonts w:ascii="Times New Roman" w:hAnsi="Times New Roman" w:cs="Times New Roman"/>
          <w:b/>
          <w:bCs/>
          <w:sz w:val="24"/>
          <w:szCs w:val="24"/>
          <w:highlight w:val="cyan"/>
        </w:rPr>
        <w:t>Letterhead]</w:t>
      </w:r>
    </w:p>
    <w:p w14:paraId="074D2C1A" w14:textId="27CB187F" w:rsidR="00FC028C" w:rsidRPr="00F37645" w:rsidRDefault="00FC028C" w:rsidP="00FC028C">
      <w:pPr>
        <w:rPr>
          <w:rFonts w:ascii="Times New Roman" w:hAnsi="Times New Roman" w:cs="Times New Roman"/>
          <w:sz w:val="24"/>
          <w:szCs w:val="24"/>
        </w:rPr>
      </w:pPr>
    </w:p>
    <w:p w14:paraId="1E7D3F7A" w14:textId="4F93C560" w:rsidR="00FC028C" w:rsidRPr="00F37645" w:rsidRDefault="00FC028C" w:rsidP="00FC028C">
      <w:pPr>
        <w:rPr>
          <w:rFonts w:ascii="Times New Roman" w:hAnsi="Times New Roman" w:cs="Times New Roman"/>
          <w:b/>
          <w:bCs/>
          <w:sz w:val="24"/>
          <w:szCs w:val="24"/>
        </w:rPr>
      </w:pPr>
      <w:r w:rsidRPr="00791C00">
        <w:rPr>
          <w:rFonts w:ascii="Times New Roman" w:hAnsi="Times New Roman" w:cs="Times New Roman"/>
          <w:b/>
          <w:bCs/>
          <w:sz w:val="24"/>
          <w:szCs w:val="24"/>
          <w:highlight w:val="cyan"/>
        </w:rPr>
        <w:t>[Date]</w:t>
      </w:r>
      <w:r w:rsidRPr="00F37645">
        <w:rPr>
          <w:rFonts w:ascii="Times New Roman" w:hAnsi="Times New Roman" w:cs="Times New Roman"/>
          <w:b/>
          <w:bCs/>
          <w:sz w:val="24"/>
          <w:szCs w:val="24"/>
        </w:rPr>
        <w:t xml:space="preserve"> </w:t>
      </w:r>
    </w:p>
    <w:p w14:paraId="18C65B94" w14:textId="718E8AC0" w:rsidR="00AE1894" w:rsidRDefault="00AE1894" w:rsidP="00FC028C">
      <w:pPr>
        <w:spacing w:after="0"/>
        <w:rPr>
          <w:rFonts w:ascii="Times New Roman" w:hAnsi="Times New Roman" w:cs="Times New Roman"/>
          <w:sz w:val="24"/>
          <w:szCs w:val="24"/>
        </w:rPr>
      </w:pPr>
      <w:r>
        <w:rPr>
          <w:rFonts w:ascii="Times New Roman" w:hAnsi="Times New Roman" w:cs="Times New Roman"/>
          <w:sz w:val="24"/>
          <w:szCs w:val="24"/>
        </w:rPr>
        <w:t>Honorable Chiquita Brooks-</w:t>
      </w:r>
      <w:proofErr w:type="spellStart"/>
      <w:r>
        <w:rPr>
          <w:rFonts w:ascii="Times New Roman" w:hAnsi="Times New Roman" w:cs="Times New Roman"/>
          <w:sz w:val="24"/>
          <w:szCs w:val="24"/>
        </w:rPr>
        <w:t>LaSure</w:t>
      </w:r>
      <w:proofErr w:type="spellEnd"/>
    </w:p>
    <w:p w14:paraId="4F569206" w14:textId="00F381C7" w:rsidR="00FC028C" w:rsidRDefault="00FC028C" w:rsidP="00FC028C">
      <w:pPr>
        <w:spacing w:after="0"/>
        <w:rPr>
          <w:rFonts w:ascii="Times New Roman" w:hAnsi="Times New Roman" w:cs="Times New Roman"/>
          <w:sz w:val="24"/>
          <w:szCs w:val="24"/>
        </w:rPr>
      </w:pPr>
      <w:r w:rsidRPr="00FC028C">
        <w:rPr>
          <w:rFonts w:ascii="Times New Roman" w:hAnsi="Times New Roman" w:cs="Times New Roman"/>
          <w:sz w:val="24"/>
          <w:szCs w:val="24"/>
        </w:rPr>
        <w:t>Centers for Medicare &amp; Medicaid Services</w:t>
      </w:r>
    </w:p>
    <w:p w14:paraId="5E1E73B5" w14:textId="77777777" w:rsidR="00FC028C" w:rsidRDefault="00FC028C" w:rsidP="00FC028C">
      <w:pPr>
        <w:spacing w:after="0"/>
        <w:rPr>
          <w:rFonts w:ascii="Times New Roman" w:hAnsi="Times New Roman" w:cs="Times New Roman"/>
          <w:sz w:val="24"/>
          <w:szCs w:val="24"/>
        </w:rPr>
      </w:pPr>
      <w:r w:rsidRPr="00FC028C">
        <w:rPr>
          <w:rFonts w:ascii="Times New Roman" w:hAnsi="Times New Roman" w:cs="Times New Roman"/>
          <w:sz w:val="24"/>
          <w:szCs w:val="24"/>
        </w:rPr>
        <w:t>Department of Health and Human Services</w:t>
      </w:r>
    </w:p>
    <w:p w14:paraId="37844370" w14:textId="77777777" w:rsidR="00FC028C" w:rsidRDefault="00FC028C" w:rsidP="00FC028C">
      <w:pPr>
        <w:spacing w:after="0"/>
        <w:rPr>
          <w:rFonts w:ascii="Times New Roman" w:hAnsi="Times New Roman" w:cs="Times New Roman"/>
          <w:sz w:val="24"/>
          <w:szCs w:val="24"/>
        </w:rPr>
      </w:pPr>
      <w:r w:rsidRPr="00FC028C">
        <w:rPr>
          <w:rFonts w:ascii="Times New Roman" w:hAnsi="Times New Roman" w:cs="Times New Roman"/>
          <w:sz w:val="24"/>
          <w:szCs w:val="24"/>
        </w:rPr>
        <w:t>Attention: CMS-1770-P</w:t>
      </w:r>
    </w:p>
    <w:p w14:paraId="74E41807" w14:textId="77777777" w:rsidR="00FC028C" w:rsidRDefault="00FC028C" w:rsidP="00FC028C">
      <w:pPr>
        <w:spacing w:after="0"/>
        <w:rPr>
          <w:rFonts w:ascii="Times New Roman" w:hAnsi="Times New Roman" w:cs="Times New Roman"/>
          <w:sz w:val="24"/>
          <w:szCs w:val="24"/>
        </w:rPr>
      </w:pPr>
      <w:r w:rsidRPr="00FC028C">
        <w:rPr>
          <w:rFonts w:ascii="Times New Roman" w:hAnsi="Times New Roman" w:cs="Times New Roman"/>
          <w:sz w:val="24"/>
          <w:szCs w:val="24"/>
        </w:rPr>
        <w:t>P.O. Box 8016</w:t>
      </w:r>
    </w:p>
    <w:p w14:paraId="1E7D57BE" w14:textId="77777777" w:rsidR="00FC028C" w:rsidRDefault="00FC028C" w:rsidP="00FC028C">
      <w:pPr>
        <w:spacing w:after="0"/>
        <w:rPr>
          <w:rFonts w:ascii="Times New Roman" w:hAnsi="Times New Roman" w:cs="Times New Roman"/>
          <w:sz w:val="24"/>
          <w:szCs w:val="24"/>
        </w:rPr>
      </w:pPr>
      <w:r w:rsidRPr="00FC028C">
        <w:rPr>
          <w:rFonts w:ascii="Times New Roman" w:hAnsi="Times New Roman" w:cs="Times New Roman"/>
          <w:sz w:val="24"/>
          <w:szCs w:val="24"/>
        </w:rPr>
        <w:t xml:space="preserve">Baltimore, MD 21244-8016 </w:t>
      </w:r>
    </w:p>
    <w:p w14:paraId="7D2C5286" w14:textId="77777777" w:rsidR="00FC028C" w:rsidRDefault="00FC028C" w:rsidP="00FC028C">
      <w:pPr>
        <w:spacing w:after="0"/>
        <w:rPr>
          <w:rFonts w:ascii="Times New Roman" w:hAnsi="Times New Roman" w:cs="Times New Roman"/>
          <w:sz w:val="24"/>
          <w:szCs w:val="24"/>
        </w:rPr>
      </w:pPr>
    </w:p>
    <w:p w14:paraId="1C7930DC" w14:textId="01143FE4" w:rsidR="00FE131C" w:rsidRDefault="00FC028C" w:rsidP="00FC028C">
      <w:pPr>
        <w:spacing w:after="0"/>
        <w:rPr>
          <w:rFonts w:ascii="Times New Roman" w:hAnsi="Times New Roman" w:cs="Times New Roman"/>
          <w:sz w:val="24"/>
          <w:szCs w:val="24"/>
        </w:rPr>
      </w:pPr>
      <w:r w:rsidRPr="00FC028C">
        <w:rPr>
          <w:rFonts w:ascii="Times New Roman" w:hAnsi="Times New Roman" w:cs="Times New Roman"/>
          <w:sz w:val="24"/>
          <w:szCs w:val="24"/>
        </w:rPr>
        <w:t>Submitted electronically to:</w:t>
      </w:r>
      <w:r w:rsidRPr="00FC028C">
        <w:rPr>
          <w:rFonts w:ascii="Times New Roman" w:hAnsi="Times New Roman" w:cs="Times New Roman"/>
          <w:sz w:val="24"/>
          <w:szCs w:val="24"/>
        </w:rPr>
        <w:tab/>
        <w:t xml:space="preserve"> </w:t>
      </w:r>
      <w:hyperlink r:id="rId8" w:history="1">
        <w:r w:rsidR="00FE131C" w:rsidRPr="005367AD">
          <w:rPr>
            <w:rStyle w:val="Hyperlink"/>
            <w:rFonts w:ascii="Times New Roman" w:hAnsi="Times New Roman" w:cs="Times New Roman"/>
            <w:sz w:val="24"/>
            <w:szCs w:val="24"/>
          </w:rPr>
          <w:t>http://www.regulations.gov</w:t>
        </w:r>
      </w:hyperlink>
    </w:p>
    <w:p w14:paraId="0D2559FD" w14:textId="648D7C3D" w:rsidR="00FC028C" w:rsidRDefault="00FC028C" w:rsidP="00FE131C">
      <w:pPr>
        <w:spacing w:after="0"/>
        <w:rPr>
          <w:rFonts w:ascii="Times New Roman" w:hAnsi="Times New Roman" w:cs="Times New Roman"/>
          <w:sz w:val="24"/>
          <w:szCs w:val="24"/>
        </w:rPr>
      </w:pPr>
      <w:r w:rsidRPr="00FC028C">
        <w:rPr>
          <w:rFonts w:ascii="Times New Roman" w:hAnsi="Times New Roman" w:cs="Times New Roman"/>
          <w:sz w:val="24"/>
          <w:szCs w:val="24"/>
        </w:rPr>
        <w:t xml:space="preserve"> </w:t>
      </w:r>
    </w:p>
    <w:p w14:paraId="2EF1D524" w14:textId="77777777" w:rsidR="00F37645" w:rsidRDefault="00FC028C" w:rsidP="00FC028C">
      <w:pPr>
        <w:rPr>
          <w:rFonts w:ascii="Times New Roman" w:hAnsi="Times New Roman" w:cs="Times New Roman"/>
          <w:b/>
          <w:bCs/>
          <w:sz w:val="24"/>
          <w:szCs w:val="24"/>
        </w:rPr>
      </w:pPr>
      <w:r w:rsidRPr="00FC028C">
        <w:rPr>
          <w:rFonts w:ascii="Times New Roman" w:hAnsi="Times New Roman" w:cs="Times New Roman"/>
          <w:b/>
          <w:bCs/>
          <w:sz w:val="24"/>
          <w:szCs w:val="24"/>
        </w:rPr>
        <w:t>Re: CMS-1770-P</w:t>
      </w:r>
      <w:r>
        <w:rPr>
          <w:rFonts w:ascii="Times New Roman" w:hAnsi="Times New Roman" w:cs="Times New Roman"/>
          <w:sz w:val="24"/>
          <w:szCs w:val="24"/>
        </w:rPr>
        <w:t xml:space="preserve"> </w:t>
      </w:r>
      <w:r>
        <w:rPr>
          <w:rFonts w:ascii="Times New Roman" w:hAnsi="Times New Roman" w:cs="Times New Roman"/>
          <w:b/>
          <w:bCs/>
          <w:sz w:val="24"/>
          <w:szCs w:val="24"/>
        </w:rPr>
        <w:t>(Sect</w:t>
      </w:r>
      <w:r w:rsidR="00F37645">
        <w:rPr>
          <w:rFonts w:ascii="Times New Roman" w:hAnsi="Times New Roman" w:cs="Times New Roman"/>
          <w:b/>
          <w:bCs/>
          <w:sz w:val="24"/>
          <w:szCs w:val="24"/>
        </w:rPr>
        <w:t>ion II.L.)</w:t>
      </w:r>
    </w:p>
    <w:p w14:paraId="0F471B1A" w14:textId="3341D957" w:rsidR="00FC028C" w:rsidRPr="00FC028C" w:rsidRDefault="00FC028C" w:rsidP="00FC028C">
      <w:pPr>
        <w:rPr>
          <w:rFonts w:ascii="Times New Roman" w:hAnsi="Times New Roman" w:cs="Times New Roman"/>
          <w:sz w:val="24"/>
          <w:szCs w:val="24"/>
        </w:rPr>
      </w:pPr>
      <w:r w:rsidRPr="00FC028C">
        <w:rPr>
          <w:rFonts w:ascii="Times New Roman" w:hAnsi="Times New Roman" w:cs="Times New Roman"/>
          <w:sz w:val="24"/>
          <w:szCs w:val="24"/>
        </w:rPr>
        <w:t xml:space="preserve"> </w:t>
      </w:r>
      <w:r w:rsidR="00AE1894">
        <w:rPr>
          <w:rFonts w:ascii="Times New Roman" w:hAnsi="Times New Roman" w:cs="Times New Roman"/>
          <w:sz w:val="24"/>
          <w:szCs w:val="24"/>
        </w:rPr>
        <w:t xml:space="preserve">Administrator Chiquita Brooks </w:t>
      </w:r>
      <w:proofErr w:type="spellStart"/>
      <w:r w:rsidR="00AE1894">
        <w:rPr>
          <w:rFonts w:ascii="Times New Roman" w:hAnsi="Times New Roman" w:cs="Times New Roman"/>
          <w:sz w:val="24"/>
          <w:szCs w:val="24"/>
        </w:rPr>
        <w:t>LaSure</w:t>
      </w:r>
      <w:proofErr w:type="spellEnd"/>
      <w:r w:rsidRPr="00FC028C">
        <w:rPr>
          <w:rFonts w:ascii="Times New Roman" w:hAnsi="Times New Roman" w:cs="Times New Roman"/>
          <w:sz w:val="24"/>
          <w:szCs w:val="24"/>
        </w:rPr>
        <w:t xml:space="preserve">:  </w:t>
      </w:r>
    </w:p>
    <w:p w14:paraId="32E254A7" w14:textId="28CAF779" w:rsidR="00FC028C" w:rsidRPr="00FC028C" w:rsidRDefault="00FC028C" w:rsidP="00FC028C">
      <w:pPr>
        <w:rPr>
          <w:rFonts w:ascii="Times New Roman" w:hAnsi="Times New Roman" w:cs="Times New Roman"/>
          <w:sz w:val="24"/>
          <w:szCs w:val="24"/>
        </w:rPr>
      </w:pPr>
      <w:r w:rsidRPr="003E3BEB">
        <w:rPr>
          <w:rFonts w:ascii="Times New Roman" w:hAnsi="Times New Roman" w:cs="Times New Roman"/>
          <w:b/>
          <w:bCs/>
          <w:sz w:val="24"/>
          <w:szCs w:val="24"/>
          <w:highlight w:val="cyan"/>
        </w:rPr>
        <w:t>[</w:t>
      </w:r>
      <w:r w:rsidR="003E3BEB" w:rsidRPr="003E3BEB">
        <w:rPr>
          <w:rFonts w:ascii="Times New Roman" w:hAnsi="Times New Roman" w:cs="Times New Roman"/>
          <w:b/>
          <w:bCs/>
          <w:sz w:val="24"/>
          <w:szCs w:val="24"/>
          <w:highlight w:val="cyan"/>
        </w:rPr>
        <w:t>insert name or organization]</w:t>
      </w:r>
      <w:r w:rsidR="003E3BEB">
        <w:rPr>
          <w:rFonts w:ascii="Times New Roman" w:hAnsi="Times New Roman" w:cs="Times New Roman"/>
          <w:sz w:val="24"/>
          <w:szCs w:val="24"/>
        </w:rPr>
        <w:t xml:space="preserve"> is</w:t>
      </w:r>
      <w:r w:rsidRPr="00FC028C">
        <w:rPr>
          <w:rFonts w:ascii="Times New Roman" w:hAnsi="Times New Roman" w:cs="Times New Roman"/>
          <w:sz w:val="24"/>
          <w:szCs w:val="24"/>
        </w:rPr>
        <w:t xml:space="preserve"> pleased to provide the Centers for Medicare &amp; Medicaid Services (CMS) comments on the proposals and request for information on Medicare Parts A and B Payment for Dental (Section II.L.) in the proposed rule on Medicare and Medicaid Programs: CY2023 Payment Policies under the Physician Fee Schedule and Other Changes to Part B Payment Policies, Medicare Shared Savings Program R</w:t>
      </w:r>
      <w:r w:rsidR="001D26EC">
        <w:rPr>
          <w:rFonts w:ascii="Times New Roman" w:hAnsi="Times New Roman" w:cs="Times New Roman"/>
          <w:sz w:val="24"/>
          <w:szCs w:val="24"/>
        </w:rPr>
        <w:t xml:space="preserve">equirements, etc. (CMS-1770-P). </w:t>
      </w:r>
    </w:p>
    <w:p w14:paraId="2FD6506D" w14:textId="2DAE06A0" w:rsidR="00FC028C" w:rsidRPr="003B2233" w:rsidRDefault="00FC028C" w:rsidP="003B2233">
      <w:pPr>
        <w:pStyle w:val="ListParagraph"/>
        <w:numPr>
          <w:ilvl w:val="0"/>
          <w:numId w:val="9"/>
        </w:numPr>
        <w:rPr>
          <w:rFonts w:ascii="Times New Roman" w:hAnsi="Times New Roman" w:cs="Times New Roman"/>
          <w:b/>
          <w:bCs/>
          <w:sz w:val="24"/>
          <w:szCs w:val="24"/>
          <w:u w:val="single"/>
        </w:rPr>
      </w:pPr>
      <w:r w:rsidRPr="003B2233">
        <w:rPr>
          <w:rFonts w:ascii="Times New Roman" w:hAnsi="Times New Roman" w:cs="Times New Roman"/>
          <w:b/>
          <w:bCs/>
          <w:sz w:val="24"/>
          <w:szCs w:val="24"/>
          <w:u w:val="single"/>
        </w:rPr>
        <w:t xml:space="preserve">Introduction to Comments </w:t>
      </w:r>
    </w:p>
    <w:p w14:paraId="110D7762" w14:textId="28ED7B6D" w:rsidR="007D047A" w:rsidRDefault="003E3BEB" w:rsidP="00FC028C">
      <w:pPr>
        <w:rPr>
          <w:rFonts w:ascii="Times New Roman" w:hAnsi="Times New Roman" w:cs="Times New Roman"/>
          <w:sz w:val="24"/>
          <w:szCs w:val="24"/>
        </w:rPr>
      </w:pPr>
      <w:r>
        <w:rPr>
          <w:rFonts w:ascii="Times New Roman" w:hAnsi="Times New Roman" w:cs="Times New Roman"/>
          <w:sz w:val="24"/>
          <w:szCs w:val="24"/>
        </w:rPr>
        <w:t>[</w:t>
      </w:r>
      <w:r w:rsidRPr="003E3BEB">
        <w:rPr>
          <w:rFonts w:ascii="Times New Roman" w:hAnsi="Times New Roman" w:cs="Times New Roman"/>
          <w:b/>
          <w:sz w:val="24"/>
          <w:szCs w:val="24"/>
          <w:highlight w:val="cyan"/>
        </w:rPr>
        <w:t>insert sentence about your organization or yourself here;</w:t>
      </w:r>
      <w:r>
        <w:rPr>
          <w:rFonts w:ascii="Times New Roman" w:hAnsi="Times New Roman" w:cs="Times New Roman"/>
          <w:sz w:val="24"/>
          <w:szCs w:val="24"/>
          <w:highlight w:val="cyan"/>
        </w:rPr>
        <w:t xml:space="preserve"> </w:t>
      </w:r>
      <w:r w:rsidRPr="003E3BEB">
        <w:rPr>
          <w:rFonts w:ascii="Times New Roman" w:hAnsi="Times New Roman" w:cs="Times New Roman"/>
          <w:i/>
          <w:sz w:val="24"/>
          <w:szCs w:val="24"/>
          <w:highlight w:val="cyan"/>
        </w:rPr>
        <w:t>EG Families USA is a national voice for health care consumers dedicated to the achievement of improved health and health care for all</w:t>
      </w:r>
      <w:r>
        <w:rPr>
          <w:rFonts w:ascii="Times New Roman" w:hAnsi="Times New Roman" w:cs="Times New Roman"/>
          <w:sz w:val="24"/>
          <w:szCs w:val="24"/>
        </w:rPr>
        <w:t xml:space="preserve">]. </w:t>
      </w:r>
      <w:r w:rsidR="001D26EC" w:rsidRPr="00B372CF">
        <w:rPr>
          <w:rFonts w:ascii="Times New Roman" w:hAnsi="Times New Roman" w:cs="Times New Roman"/>
          <w:sz w:val="24"/>
          <w:szCs w:val="24"/>
        </w:rPr>
        <w:t xml:space="preserve">As </w:t>
      </w:r>
      <w:r w:rsidRPr="003E3BEB">
        <w:rPr>
          <w:rFonts w:ascii="Times New Roman" w:hAnsi="Times New Roman" w:cs="Times New Roman"/>
          <w:sz w:val="24"/>
          <w:szCs w:val="24"/>
          <w:highlight w:val="cyan"/>
        </w:rPr>
        <w:t xml:space="preserve">[descriptor, </w:t>
      </w:r>
      <w:proofErr w:type="spellStart"/>
      <w:proofErr w:type="gramStart"/>
      <w:r w:rsidRPr="003E3BEB">
        <w:rPr>
          <w:rFonts w:ascii="Times New Roman" w:hAnsi="Times New Roman" w:cs="Times New Roman"/>
          <w:sz w:val="24"/>
          <w:szCs w:val="24"/>
          <w:highlight w:val="cyan"/>
        </w:rPr>
        <w:t>eg</w:t>
      </w:r>
      <w:proofErr w:type="spellEnd"/>
      <w:proofErr w:type="gramEnd"/>
      <w:r w:rsidRPr="003E3BEB">
        <w:rPr>
          <w:rFonts w:ascii="Times New Roman" w:hAnsi="Times New Roman" w:cs="Times New Roman"/>
          <w:sz w:val="24"/>
          <w:szCs w:val="24"/>
          <w:highlight w:val="cyan"/>
        </w:rPr>
        <w:t xml:space="preserve"> advocates for health equity or dental providers or social workers]</w:t>
      </w:r>
      <w:r w:rsidR="001D26EC" w:rsidRPr="00B372CF">
        <w:rPr>
          <w:rFonts w:ascii="Times New Roman" w:hAnsi="Times New Roman" w:cs="Times New Roman"/>
          <w:sz w:val="24"/>
          <w:szCs w:val="24"/>
        </w:rPr>
        <w:t xml:space="preserve">, we have long </w:t>
      </w:r>
      <w:r>
        <w:rPr>
          <w:rFonts w:ascii="Times New Roman" w:hAnsi="Times New Roman" w:cs="Times New Roman"/>
          <w:sz w:val="24"/>
          <w:szCs w:val="24"/>
        </w:rPr>
        <w:t>recognized the</w:t>
      </w:r>
      <w:r w:rsidR="001D26EC" w:rsidRPr="00B372CF">
        <w:rPr>
          <w:rFonts w:ascii="Times New Roman" w:hAnsi="Times New Roman" w:cs="Times New Roman"/>
          <w:sz w:val="24"/>
          <w:szCs w:val="24"/>
        </w:rPr>
        <w:t xml:space="preserve"> </w:t>
      </w:r>
      <w:r>
        <w:rPr>
          <w:rFonts w:ascii="Times New Roman" w:hAnsi="Times New Roman" w:cs="Times New Roman"/>
          <w:sz w:val="24"/>
          <w:szCs w:val="24"/>
        </w:rPr>
        <w:t xml:space="preserve">need </w:t>
      </w:r>
      <w:r w:rsidR="001D26EC" w:rsidRPr="00B372CF">
        <w:rPr>
          <w:rFonts w:ascii="Times New Roman" w:hAnsi="Times New Roman" w:cs="Times New Roman"/>
          <w:sz w:val="24"/>
          <w:szCs w:val="24"/>
        </w:rPr>
        <w:t>for improved dental coverage in Medicare. Without th</w:t>
      </w:r>
      <w:r>
        <w:rPr>
          <w:rFonts w:ascii="Times New Roman" w:hAnsi="Times New Roman" w:cs="Times New Roman"/>
          <w:sz w:val="24"/>
          <w:szCs w:val="24"/>
        </w:rPr>
        <w:t>is coverage, millions of older adults</w:t>
      </w:r>
      <w:r w:rsidR="001D26EC" w:rsidRPr="00B372CF">
        <w:rPr>
          <w:rFonts w:ascii="Times New Roman" w:hAnsi="Times New Roman" w:cs="Times New Roman"/>
          <w:sz w:val="24"/>
          <w:szCs w:val="24"/>
        </w:rPr>
        <w:t xml:space="preserve"> and people w</w:t>
      </w:r>
      <w:r>
        <w:rPr>
          <w:rFonts w:ascii="Times New Roman" w:hAnsi="Times New Roman" w:cs="Times New Roman"/>
          <w:sz w:val="24"/>
          <w:szCs w:val="24"/>
        </w:rPr>
        <w:t>ith disabilities in our nation</w:t>
      </w:r>
      <w:r w:rsidR="001D26EC" w:rsidRPr="00B372CF">
        <w:rPr>
          <w:rFonts w:ascii="Times New Roman" w:hAnsi="Times New Roman" w:cs="Times New Roman"/>
          <w:sz w:val="24"/>
          <w:szCs w:val="24"/>
        </w:rPr>
        <w:t xml:space="preserve"> cannot afford the care they need to get and stay healthy.</w:t>
      </w:r>
      <w:r w:rsidR="006029CE">
        <w:rPr>
          <w:rFonts w:ascii="Times New Roman" w:hAnsi="Times New Roman" w:cs="Times New Roman"/>
          <w:sz w:val="24"/>
          <w:szCs w:val="24"/>
        </w:rPr>
        <w:t xml:space="preserve"> </w:t>
      </w:r>
      <w:r>
        <w:rPr>
          <w:rFonts w:ascii="Times New Roman" w:hAnsi="Times New Roman" w:cs="Times New Roman"/>
          <w:sz w:val="24"/>
          <w:szCs w:val="24"/>
        </w:rPr>
        <w:t>Now, t</w:t>
      </w:r>
      <w:r w:rsidRPr="00B372CF">
        <w:rPr>
          <w:rFonts w:ascii="Times New Roman" w:hAnsi="Times New Roman" w:cs="Times New Roman"/>
          <w:sz w:val="24"/>
          <w:szCs w:val="24"/>
        </w:rPr>
        <w:t>he Biden Administration has an opportunity to deliver a critical piece of this popular, much needed benefit to our nation’s older adu</w:t>
      </w:r>
      <w:r>
        <w:rPr>
          <w:rFonts w:ascii="Times New Roman" w:hAnsi="Times New Roman" w:cs="Times New Roman"/>
          <w:sz w:val="24"/>
          <w:szCs w:val="24"/>
        </w:rPr>
        <w:t>lts and people with disabilities</w:t>
      </w:r>
      <w:r w:rsidRPr="00B372CF">
        <w:rPr>
          <w:rFonts w:ascii="Times New Roman" w:hAnsi="Times New Roman" w:cs="Times New Roman"/>
          <w:sz w:val="24"/>
          <w:szCs w:val="24"/>
        </w:rPr>
        <w:t>.</w:t>
      </w:r>
    </w:p>
    <w:p w14:paraId="4A5F4643" w14:textId="10FD2821" w:rsidR="007D047A" w:rsidRDefault="001D26EC" w:rsidP="00FC028C">
      <w:pPr>
        <w:rPr>
          <w:rFonts w:ascii="Times New Roman" w:hAnsi="Times New Roman" w:cs="Times New Roman"/>
          <w:sz w:val="24"/>
          <w:szCs w:val="24"/>
        </w:rPr>
      </w:pPr>
      <w:r w:rsidRPr="00B372CF">
        <w:rPr>
          <w:rFonts w:ascii="Times New Roman" w:hAnsi="Times New Roman" w:cs="Times New Roman"/>
          <w:sz w:val="24"/>
          <w:szCs w:val="24"/>
        </w:rPr>
        <w:t xml:space="preserve">We applaud </w:t>
      </w:r>
      <w:r w:rsidR="00053408" w:rsidRPr="00B372CF">
        <w:rPr>
          <w:rFonts w:ascii="Times New Roman" w:hAnsi="Times New Roman" w:cs="Times New Roman"/>
          <w:sz w:val="24"/>
          <w:szCs w:val="24"/>
        </w:rPr>
        <w:t xml:space="preserve">CMS </w:t>
      </w:r>
      <w:r w:rsidRPr="00B372CF">
        <w:rPr>
          <w:rFonts w:ascii="Times New Roman" w:hAnsi="Times New Roman" w:cs="Times New Roman"/>
          <w:sz w:val="24"/>
          <w:szCs w:val="24"/>
        </w:rPr>
        <w:t xml:space="preserve">for </w:t>
      </w:r>
      <w:r w:rsidR="00287F0B" w:rsidRPr="00B372CF">
        <w:rPr>
          <w:rFonts w:ascii="Times New Roman" w:hAnsi="Times New Roman" w:cs="Times New Roman"/>
          <w:sz w:val="24"/>
          <w:szCs w:val="24"/>
        </w:rPr>
        <w:t>recognizing the need</w:t>
      </w:r>
      <w:r w:rsidRPr="00B372CF">
        <w:rPr>
          <w:rFonts w:ascii="Times New Roman" w:hAnsi="Times New Roman" w:cs="Times New Roman"/>
          <w:sz w:val="24"/>
          <w:szCs w:val="24"/>
        </w:rPr>
        <w:t xml:space="preserve"> to maximize its authority to cover “medically necessary” dental care in Medicare. </w:t>
      </w:r>
      <w:r w:rsidR="007D047A" w:rsidRPr="007D047A">
        <w:rPr>
          <w:rFonts w:ascii="Times New Roman" w:hAnsi="Times New Roman" w:cs="Times New Roman"/>
          <w:sz w:val="24"/>
          <w:szCs w:val="24"/>
        </w:rPr>
        <w:t>Medicare’s lack of dental coverage</w:t>
      </w:r>
      <w:r w:rsidR="007D047A">
        <w:rPr>
          <w:rFonts w:ascii="Times New Roman" w:hAnsi="Times New Roman" w:cs="Times New Roman"/>
          <w:sz w:val="24"/>
          <w:szCs w:val="24"/>
        </w:rPr>
        <w:t xml:space="preserve"> not only leaves oral health care unaffordable for millions of Americans, </w:t>
      </w:r>
      <w:proofErr w:type="gramStart"/>
      <w:r w:rsidR="007D047A">
        <w:rPr>
          <w:rFonts w:ascii="Times New Roman" w:hAnsi="Times New Roman" w:cs="Times New Roman"/>
          <w:sz w:val="24"/>
          <w:szCs w:val="24"/>
        </w:rPr>
        <w:t>it</w:t>
      </w:r>
      <w:proofErr w:type="gramEnd"/>
      <w:r w:rsidR="007D047A">
        <w:rPr>
          <w:rFonts w:ascii="Times New Roman" w:hAnsi="Times New Roman" w:cs="Times New Roman"/>
          <w:sz w:val="24"/>
          <w:szCs w:val="24"/>
        </w:rPr>
        <w:t xml:space="preserve"> also</w:t>
      </w:r>
      <w:r w:rsidR="007D047A" w:rsidRPr="007D047A">
        <w:rPr>
          <w:rFonts w:ascii="Times New Roman" w:hAnsi="Times New Roman" w:cs="Times New Roman"/>
          <w:sz w:val="24"/>
          <w:szCs w:val="24"/>
        </w:rPr>
        <w:t xml:space="preserve"> exacerbates underlying racial, geographic and disability-related health and wealth d</w:t>
      </w:r>
      <w:r w:rsidR="00D87FE4">
        <w:rPr>
          <w:rFonts w:ascii="Times New Roman" w:hAnsi="Times New Roman" w:cs="Times New Roman"/>
          <w:sz w:val="24"/>
          <w:szCs w:val="24"/>
        </w:rPr>
        <w:t>isparities.</w:t>
      </w:r>
      <w:r w:rsidR="00D87FE4">
        <w:rPr>
          <w:rStyle w:val="EndnoteReference"/>
          <w:rFonts w:ascii="Times New Roman" w:hAnsi="Times New Roman" w:cs="Times New Roman"/>
          <w:sz w:val="24"/>
          <w:szCs w:val="24"/>
        </w:rPr>
        <w:endnoteReference w:id="1"/>
      </w:r>
      <w:r w:rsidR="007D047A" w:rsidRPr="007D047A">
        <w:rPr>
          <w:rFonts w:ascii="Times New Roman" w:hAnsi="Times New Roman" w:cs="Times New Roman"/>
          <w:sz w:val="24"/>
          <w:szCs w:val="24"/>
        </w:rPr>
        <w:t xml:space="preserve"> Improved Medicare coverage for medically necessary dental care would</w:t>
      </w:r>
      <w:r w:rsidR="007D047A">
        <w:rPr>
          <w:rFonts w:ascii="Times New Roman" w:hAnsi="Times New Roman" w:cs="Times New Roman"/>
          <w:sz w:val="24"/>
          <w:szCs w:val="24"/>
        </w:rPr>
        <w:t xml:space="preserve"> help millions of people get healthy </w:t>
      </w:r>
      <w:r w:rsidR="007D047A" w:rsidRPr="007D047A">
        <w:rPr>
          <w:rFonts w:ascii="Times New Roman" w:hAnsi="Times New Roman" w:cs="Times New Roman"/>
          <w:sz w:val="24"/>
          <w:szCs w:val="24"/>
        </w:rPr>
        <w:t>without having to make impossible financial tradeoffs</w:t>
      </w:r>
      <w:r w:rsidR="007D047A">
        <w:rPr>
          <w:rFonts w:ascii="Times New Roman" w:hAnsi="Times New Roman" w:cs="Times New Roman"/>
          <w:sz w:val="24"/>
          <w:szCs w:val="24"/>
        </w:rPr>
        <w:t xml:space="preserve"> and would mitigate some of these health inequities</w:t>
      </w:r>
      <w:r w:rsidR="007D047A" w:rsidRPr="007D047A">
        <w:rPr>
          <w:rFonts w:ascii="Times New Roman" w:hAnsi="Times New Roman" w:cs="Times New Roman"/>
          <w:sz w:val="24"/>
          <w:szCs w:val="24"/>
        </w:rPr>
        <w:t xml:space="preserve">. </w:t>
      </w:r>
    </w:p>
    <w:p w14:paraId="38B08A92" w14:textId="756CDF5F" w:rsidR="00F37645" w:rsidRPr="008C66BD" w:rsidRDefault="008C66BD" w:rsidP="00FC028C">
      <w:pPr>
        <w:rPr>
          <w:rFonts w:ascii="Times New Roman" w:hAnsi="Times New Roman" w:cs="Times New Roman"/>
          <w:sz w:val="24"/>
          <w:szCs w:val="24"/>
        </w:rPr>
      </w:pPr>
      <w:r>
        <w:rPr>
          <w:rFonts w:ascii="Times New Roman" w:hAnsi="Times New Roman" w:cs="Times New Roman"/>
          <w:sz w:val="24"/>
          <w:szCs w:val="24"/>
        </w:rPr>
        <w:t>Acting</w:t>
      </w:r>
      <w:r w:rsidR="001D26EC" w:rsidRPr="00B372CF">
        <w:rPr>
          <w:rFonts w:ascii="Times New Roman" w:hAnsi="Times New Roman" w:cs="Times New Roman"/>
          <w:sz w:val="24"/>
          <w:szCs w:val="24"/>
        </w:rPr>
        <w:t xml:space="preserve"> to maximize this authority as is being</w:t>
      </w:r>
      <w:r w:rsidR="00287F0B" w:rsidRPr="00B372CF">
        <w:rPr>
          <w:rFonts w:ascii="Times New Roman" w:hAnsi="Times New Roman" w:cs="Times New Roman"/>
          <w:sz w:val="24"/>
          <w:szCs w:val="24"/>
        </w:rPr>
        <w:t xml:space="preserve"> proposed</w:t>
      </w:r>
      <w:r w:rsidR="001D26EC" w:rsidRPr="00B372CF">
        <w:rPr>
          <w:rFonts w:ascii="Times New Roman" w:hAnsi="Times New Roman" w:cs="Times New Roman"/>
          <w:sz w:val="24"/>
          <w:szCs w:val="24"/>
        </w:rPr>
        <w:t xml:space="preserve"> </w:t>
      </w:r>
      <w:r w:rsidR="00287F0B" w:rsidRPr="00B372CF">
        <w:rPr>
          <w:rFonts w:ascii="Times New Roman" w:hAnsi="Times New Roman" w:cs="Times New Roman"/>
          <w:sz w:val="24"/>
          <w:szCs w:val="24"/>
        </w:rPr>
        <w:t xml:space="preserve">and explored in this proposed rule </w:t>
      </w:r>
      <w:r w:rsidR="001D26EC" w:rsidRPr="00B372CF">
        <w:rPr>
          <w:rFonts w:ascii="Times New Roman" w:hAnsi="Times New Roman" w:cs="Times New Roman"/>
          <w:sz w:val="24"/>
          <w:szCs w:val="24"/>
        </w:rPr>
        <w:t xml:space="preserve">would help </w:t>
      </w:r>
      <w:r w:rsidR="00287F0B" w:rsidRPr="00B372CF">
        <w:rPr>
          <w:rFonts w:ascii="Times New Roman" w:hAnsi="Times New Roman" w:cs="Times New Roman"/>
          <w:sz w:val="24"/>
          <w:szCs w:val="24"/>
        </w:rPr>
        <w:t>some</w:t>
      </w:r>
      <w:r w:rsidR="001D26EC" w:rsidRPr="00B372CF">
        <w:rPr>
          <w:rFonts w:ascii="Times New Roman" w:hAnsi="Times New Roman" w:cs="Times New Roman"/>
          <w:sz w:val="24"/>
          <w:szCs w:val="24"/>
        </w:rPr>
        <w:t xml:space="preserve"> of the</w:t>
      </w:r>
      <w:r w:rsidR="00287F0B" w:rsidRPr="00B372CF">
        <w:rPr>
          <w:rFonts w:ascii="Times New Roman" w:hAnsi="Times New Roman" w:cs="Times New Roman"/>
          <w:sz w:val="24"/>
          <w:szCs w:val="24"/>
        </w:rPr>
        <w:t xml:space="preserve"> very</w:t>
      </w:r>
      <w:r w:rsidR="001D26EC" w:rsidRPr="00B372CF">
        <w:rPr>
          <w:rFonts w:ascii="Times New Roman" w:hAnsi="Times New Roman" w:cs="Times New Roman"/>
          <w:sz w:val="24"/>
          <w:szCs w:val="24"/>
        </w:rPr>
        <w:t xml:space="preserve"> people who need dental coverage the most.</w:t>
      </w:r>
      <w:r w:rsidR="00EF4EB5" w:rsidRPr="00B372CF">
        <w:rPr>
          <w:rFonts w:ascii="Times New Roman" w:hAnsi="Times New Roman" w:cs="Times New Roman"/>
          <w:sz w:val="24"/>
          <w:szCs w:val="24"/>
        </w:rPr>
        <w:t xml:space="preserve"> </w:t>
      </w:r>
      <w:r w:rsidR="00EF4EB5" w:rsidRPr="007D047A">
        <w:rPr>
          <w:rFonts w:ascii="Times New Roman" w:hAnsi="Times New Roman" w:cs="Times New Roman"/>
          <w:b/>
          <w:bCs/>
          <w:sz w:val="24"/>
          <w:szCs w:val="24"/>
        </w:rPr>
        <w:t xml:space="preserve">Overall, we strongly support the proposed clarification </w:t>
      </w:r>
      <w:r w:rsidR="00287F0B" w:rsidRPr="007D047A">
        <w:rPr>
          <w:rFonts w:ascii="Times New Roman" w:hAnsi="Times New Roman" w:cs="Times New Roman"/>
          <w:b/>
          <w:bCs/>
          <w:sz w:val="24"/>
          <w:szCs w:val="24"/>
        </w:rPr>
        <w:t xml:space="preserve">of CMS’s authority on “medically necessary” dental coverage, </w:t>
      </w:r>
      <w:r w:rsidR="00EF4EB5" w:rsidRPr="007D047A">
        <w:rPr>
          <w:rFonts w:ascii="Times New Roman" w:hAnsi="Times New Roman" w:cs="Times New Roman"/>
          <w:b/>
          <w:bCs/>
          <w:sz w:val="24"/>
          <w:szCs w:val="24"/>
        </w:rPr>
        <w:lastRenderedPageBreak/>
        <w:t xml:space="preserve">and we </w:t>
      </w:r>
      <w:r w:rsidR="00EF4EB5" w:rsidRPr="007D047A">
        <w:rPr>
          <w:rFonts w:ascii="Times New Roman" w:hAnsi="Times New Roman" w:cs="Times New Roman"/>
          <w:b/>
          <w:sz w:val="24"/>
          <w:szCs w:val="24"/>
        </w:rPr>
        <w:t>will address several of the specific issues and questions that CMS has solicited input</w:t>
      </w:r>
      <w:r w:rsidR="00287F0B" w:rsidRPr="007D047A">
        <w:rPr>
          <w:rFonts w:ascii="Times New Roman" w:hAnsi="Times New Roman" w:cs="Times New Roman"/>
          <w:b/>
          <w:sz w:val="24"/>
          <w:szCs w:val="24"/>
        </w:rPr>
        <w:t xml:space="preserve"> in the comments that follow</w:t>
      </w:r>
      <w:r w:rsidR="00EF4EB5" w:rsidRPr="007D047A">
        <w:rPr>
          <w:rFonts w:ascii="Times New Roman" w:hAnsi="Times New Roman" w:cs="Times New Roman"/>
          <w:b/>
          <w:sz w:val="24"/>
          <w:szCs w:val="24"/>
        </w:rPr>
        <w:t>.</w:t>
      </w:r>
    </w:p>
    <w:p w14:paraId="2D5B7659" w14:textId="181D883F" w:rsidR="00FE131C" w:rsidRPr="003B2233" w:rsidRDefault="00FC028C" w:rsidP="003B2233">
      <w:pPr>
        <w:pStyle w:val="ListParagraph"/>
        <w:numPr>
          <w:ilvl w:val="0"/>
          <w:numId w:val="9"/>
        </w:numPr>
        <w:rPr>
          <w:rFonts w:ascii="Times New Roman" w:hAnsi="Times New Roman" w:cs="Times New Roman"/>
          <w:b/>
          <w:bCs/>
          <w:sz w:val="24"/>
          <w:szCs w:val="24"/>
          <w:u w:val="single"/>
        </w:rPr>
      </w:pPr>
      <w:r w:rsidRPr="003B2233">
        <w:rPr>
          <w:rFonts w:ascii="Times New Roman" w:hAnsi="Times New Roman" w:cs="Times New Roman"/>
          <w:b/>
          <w:bCs/>
          <w:sz w:val="24"/>
          <w:szCs w:val="24"/>
          <w:u w:val="single"/>
        </w:rPr>
        <w:t>Commen</w:t>
      </w:r>
      <w:r w:rsidR="00744694" w:rsidRPr="003B2233">
        <w:rPr>
          <w:rFonts w:ascii="Times New Roman" w:hAnsi="Times New Roman" w:cs="Times New Roman"/>
          <w:b/>
          <w:bCs/>
          <w:sz w:val="24"/>
          <w:szCs w:val="24"/>
          <w:u w:val="single"/>
        </w:rPr>
        <w:t>t on</w:t>
      </w:r>
      <w:r w:rsidRPr="003B2233">
        <w:rPr>
          <w:rFonts w:ascii="Times New Roman" w:hAnsi="Times New Roman" w:cs="Times New Roman"/>
          <w:b/>
          <w:bCs/>
          <w:sz w:val="24"/>
          <w:szCs w:val="24"/>
          <w:u w:val="single"/>
        </w:rPr>
        <w:t xml:space="preserve"> Proposa</w:t>
      </w:r>
      <w:r w:rsidR="00744694" w:rsidRPr="003B2233">
        <w:rPr>
          <w:rFonts w:ascii="Times New Roman" w:hAnsi="Times New Roman" w:cs="Times New Roman"/>
          <w:b/>
          <w:bCs/>
          <w:sz w:val="24"/>
          <w:szCs w:val="24"/>
          <w:u w:val="single"/>
        </w:rPr>
        <w:t>l to Clarify Interpretation of the Statutory Dental Exclusion</w:t>
      </w:r>
    </w:p>
    <w:p w14:paraId="1A1190BD" w14:textId="6DC33060" w:rsidR="00FC028C" w:rsidRDefault="00571841" w:rsidP="00FC028C">
      <w:pPr>
        <w:rPr>
          <w:rFonts w:ascii="Times New Roman" w:hAnsi="Times New Roman" w:cs="Times New Roman"/>
          <w:sz w:val="24"/>
          <w:szCs w:val="24"/>
        </w:rPr>
      </w:pPr>
      <w:r>
        <w:rPr>
          <w:rFonts w:ascii="Times New Roman" w:hAnsi="Times New Roman" w:cs="Times New Roman"/>
          <w:sz w:val="24"/>
          <w:szCs w:val="24"/>
        </w:rPr>
        <w:t xml:space="preserve">CMS proposes to clarify and codify the agency’s </w:t>
      </w:r>
      <w:r w:rsidR="000751A9">
        <w:rPr>
          <w:rFonts w:ascii="Times New Roman" w:hAnsi="Times New Roman" w:cs="Times New Roman"/>
          <w:sz w:val="24"/>
          <w:szCs w:val="24"/>
        </w:rPr>
        <w:t xml:space="preserve">interpretation </w:t>
      </w:r>
      <w:r w:rsidR="00744694">
        <w:rPr>
          <w:rFonts w:ascii="Times New Roman" w:hAnsi="Times New Roman" w:cs="Times New Roman"/>
          <w:sz w:val="24"/>
          <w:szCs w:val="24"/>
        </w:rPr>
        <w:t>that certain dental services may not be subject to the</w:t>
      </w:r>
      <w:r w:rsidR="003B2233">
        <w:rPr>
          <w:rFonts w:ascii="Times New Roman" w:hAnsi="Times New Roman" w:cs="Times New Roman"/>
          <w:sz w:val="24"/>
          <w:szCs w:val="24"/>
        </w:rPr>
        <w:t xml:space="preserve"> Medicare’s</w:t>
      </w:r>
      <w:r>
        <w:rPr>
          <w:rFonts w:ascii="Times New Roman" w:hAnsi="Times New Roman" w:cs="Times New Roman"/>
          <w:sz w:val="24"/>
          <w:szCs w:val="24"/>
        </w:rPr>
        <w:t xml:space="preserve"> </w:t>
      </w:r>
      <w:r w:rsidR="00744694">
        <w:rPr>
          <w:rFonts w:ascii="Times New Roman" w:hAnsi="Times New Roman" w:cs="Times New Roman"/>
          <w:sz w:val="24"/>
          <w:szCs w:val="24"/>
        </w:rPr>
        <w:t>payment exclusion</w:t>
      </w:r>
      <w:r w:rsidR="003B2233">
        <w:rPr>
          <w:rFonts w:ascii="Times New Roman" w:hAnsi="Times New Roman" w:cs="Times New Roman"/>
          <w:sz w:val="24"/>
          <w:szCs w:val="24"/>
        </w:rPr>
        <w:t xml:space="preserve"> for dental services</w:t>
      </w:r>
      <w:r w:rsidR="00744694">
        <w:rPr>
          <w:rFonts w:ascii="Times New Roman" w:hAnsi="Times New Roman" w:cs="Times New Roman"/>
          <w:sz w:val="24"/>
          <w:szCs w:val="24"/>
        </w:rPr>
        <w:t xml:space="preserve"> under </w:t>
      </w:r>
      <w:r>
        <w:rPr>
          <w:rFonts w:ascii="Times New Roman" w:hAnsi="Times New Roman" w:cs="Times New Roman"/>
          <w:sz w:val="24"/>
          <w:szCs w:val="24"/>
        </w:rPr>
        <w:t xml:space="preserve">Section 1862 (a)(12) of the Act </w:t>
      </w:r>
      <w:r w:rsidR="00744694">
        <w:rPr>
          <w:rFonts w:ascii="Times New Roman" w:hAnsi="Times New Roman" w:cs="Times New Roman"/>
          <w:sz w:val="24"/>
          <w:szCs w:val="24"/>
        </w:rPr>
        <w:t>because they are</w:t>
      </w:r>
      <w:r w:rsidR="00D3606C">
        <w:rPr>
          <w:rFonts w:ascii="Times New Roman" w:hAnsi="Times New Roman" w:cs="Times New Roman"/>
          <w:sz w:val="24"/>
          <w:szCs w:val="24"/>
        </w:rPr>
        <w:t xml:space="preserve"> </w:t>
      </w:r>
      <w:r w:rsidR="00D3606C" w:rsidRPr="00975A8F">
        <w:rPr>
          <w:rFonts w:ascii="Times New Roman" w:hAnsi="Times New Roman" w:cs="Times New Roman"/>
          <w:sz w:val="24"/>
          <w:szCs w:val="24"/>
        </w:rPr>
        <w:t>“inextricably linked to, and substantially related and integral to the clinical success of</w:t>
      </w:r>
      <w:r w:rsidR="00440830" w:rsidRPr="00975A8F">
        <w:rPr>
          <w:rFonts w:ascii="Times New Roman" w:hAnsi="Times New Roman" w:cs="Times New Roman"/>
          <w:sz w:val="24"/>
          <w:szCs w:val="24"/>
        </w:rPr>
        <w:t>,</w:t>
      </w:r>
      <w:r w:rsidR="00D3606C" w:rsidRPr="00975A8F">
        <w:rPr>
          <w:rFonts w:ascii="Times New Roman" w:hAnsi="Times New Roman" w:cs="Times New Roman"/>
          <w:sz w:val="24"/>
          <w:szCs w:val="24"/>
        </w:rPr>
        <w:t xml:space="preserve"> </w:t>
      </w:r>
      <w:r w:rsidR="00440830" w:rsidRPr="00975A8F">
        <w:rPr>
          <w:rFonts w:ascii="Times New Roman" w:hAnsi="Times New Roman" w:cs="Times New Roman"/>
          <w:sz w:val="24"/>
          <w:szCs w:val="24"/>
        </w:rPr>
        <w:t xml:space="preserve">a certain </w:t>
      </w:r>
      <w:r w:rsidR="00D3606C" w:rsidRPr="00975A8F">
        <w:rPr>
          <w:rFonts w:ascii="Times New Roman" w:hAnsi="Times New Roman" w:cs="Times New Roman"/>
          <w:sz w:val="24"/>
          <w:szCs w:val="24"/>
        </w:rPr>
        <w:t>covered medical service.”</w:t>
      </w:r>
      <w:r>
        <w:rPr>
          <w:rFonts w:ascii="Times New Roman" w:hAnsi="Times New Roman" w:cs="Times New Roman"/>
          <w:sz w:val="24"/>
          <w:szCs w:val="24"/>
        </w:rPr>
        <w:t xml:space="preserve"> </w:t>
      </w:r>
      <w:r w:rsidR="00EC6103">
        <w:rPr>
          <w:rFonts w:ascii="Times New Roman" w:hAnsi="Times New Roman" w:cs="Times New Roman"/>
          <w:sz w:val="24"/>
          <w:szCs w:val="24"/>
        </w:rPr>
        <w:t xml:space="preserve"> </w:t>
      </w:r>
    </w:p>
    <w:p w14:paraId="04F88917" w14:textId="732CFFFC" w:rsidR="004814D9" w:rsidRDefault="00EE75C5" w:rsidP="004814D9">
      <w:pPr>
        <w:rPr>
          <w:rFonts w:ascii="Times New Roman" w:hAnsi="Times New Roman" w:cs="Times New Roman"/>
          <w:bCs/>
          <w:color w:val="FF0000"/>
          <w:sz w:val="24"/>
          <w:szCs w:val="24"/>
        </w:rPr>
      </w:pPr>
      <w:r w:rsidRPr="00B372CF">
        <w:rPr>
          <w:rFonts w:ascii="Times New Roman" w:hAnsi="Times New Roman" w:cs="Times New Roman"/>
          <w:bCs/>
          <w:sz w:val="24"/>
          <w:szCs w:val="24"/>
        </w:rPr>
        <w:t>This proposal is an important recognition and clarification of CMS’s existing authority</w:t>
      </w:r>
      <w:r w:rsidR="002105CF">
        <w:rPr>
          <w:rFonts w:ascii="Times New Roman" w:hAnsi="Times New Roman" w:cs="Times New Roman"/>
          <w:bCs/>
          <w:sz w:val="24"/>
          <w:szCs w:val="24"/>
        </w:rPr>
        <w:t>, which will help</w:t>
      </w:r>
      <w:r w:rsidRPr="00B372CF">
        <w:rPr>
          <w:rFonts w:ascii="Times New Roman" w:hAnsi="Times New Roman" w:cs="Times New Roman"/>
          <w:bCs/>
          <w:sz w:val="24"/>
          <w:szCs w:val="24"/>
        </w:rPr>
        <w:t xml:space="preserve"> to ensure that Medicare beneficiaries can access and afford more of the dental care they need to advance their health.</w:t>
      </w:r>
      <w:r w:rsidR="004814D9" w:rsidRPr="00B372CF">
        <w:rPr>
          <w:rFonts w:ascii="Times New Roman" w:hAnsi="Times New Roman" w:cs="Times New Roman"/>
          <w:bCs/>
          <w:sz w:val="24"/>
          <w:szCs w:val="24"/>
        </w:rPr>
        <w:t xml:space="preserve"> The Medicare statute does not bar payment for dental services needed in connection with the covered treatment of a medical condition. We agree with a wide array of stakeholders that CMS’s existing interpretation of its authority in this area is</w:t>
      </w:r>
      <w:r w:rsidR="004814D9" w:rsidRPr="00B372CF">
        <w:rPr>
          <w:rFonts w:ascii="TimesNewRomanPSMT" w:hAnsi="TimesNewRomanPSMT" w:cs="TimesNewRomanPSMT"/>
          <w:sz w:val="24"/>
          <w:szCs w:val="24"/>
        </w:rPr>
        <w:t xml:space="preserve"> </w:t>
      </w:r>
      <w:r w:rsidR="004814D9" w:rsidRPr="00B372CF">
        <w:rPr>
          <w:rFonts w:ascii="Times New Roman" w:hAnsi="Times New Roman" w:cs="Times New Roman"/>
          <w:bCs/>
          <w:sz w:val="24"/>
          <w:szCs w:val="24"/>
        </w:rPr>
        <w:t xml:space="preserve">unnecessarily </w:t>
      </w:r>
      <w:proofErr w:type="gramStart"/>
      <w:r w:rsidR="004814D9" w:rsidRPr="00B372CF">
        <w:rPr>
          <w:rFonts w:ascii="Times New Roman" w:hAnsi="Times New Roman" w:cs="Times New Roman"/>
          <w:bCs/>
          <w:sz w:val="24"/>
          <w:szCs w:val="24"/>
        </w:rPr>
        <w:t>restrictive, and</w:t>
      </w:r>
      <w:proofErr w:type="gramEnd"/>
      <w:r w:rsidR="004814D9" w:rsidRPr="00B372CF">
        <w:rPr>
          <w:rFonts w:ascii="Times New Roman" w:hAnsi="Times New Roman" w:cs="Times New Roman"/>
          <w:bCs/>
          <w:sz w:val="24"/>
          <w:szCs w:val="24"/>
        </w:rPr>
        <w:t xml:space="preserve"> may contribute to inequitable access to dental services</w:t>
      </w:r>
      <w:r w:rsidR="003B2233">
        <w:rPr>
          <w:rFonts w:ascii="Times New Roman" w:hAnsi="Times New Roman" w:cs="Times New Roman"/>
          <w:bCs/>
          <w:sz w:val="24"/>
          <w:szCs w:val="24"/>
        </w:rPr>
        <w:t>—and thus inequitable health outcomes--</w:t>
      </w:r>
      <w:r w:rsidR="004814D9" w:rsidRPr="00B372CF">
        <w:rPr>
          <w:rFonts w:ascii="Times New Roman" w:hAnsi="Times New Roman" w:cs="Times New Roman"/>
          <w:bCs/>
          <w:sz w:val="24"/>
          <w:szCs w:val="24"/>
        </w:rPr>
        <w:t xml:space="preserve"> for Medicare beneficiaries. Moreover, this updated interpretation of authority would be consistent with coverage in other areas</w:t>
      </w:r>
      <w:r w:rsidR="004E678A" w:rsidRPr="00B372CF">
        <w:rPr>
          <w:rFonts w:ascii="Times New Roman" w:hAnsi="Times New Roman" w:cs="Times New Roman"/>
          <w:bCs/>
          <w:sz w:val="24"/>
          <w:szCs w:val="24"/>
        </w:rPr>
        <w:t>, such as the</w:t>
      </w:r>
      <w:r w:rsidRPr="00B372CF">
        <w:rPr>
          <w:rFonts w:ascii="Times New Roman" w:hAnsi="Times New Roman" w:cs="Times New Roman"/>
          <w:bCs/>
          <w:sz w:val="24"/>
          <w:szCs w:val="24"/>
        </w:rPr>
        <w:t xml:space="preserve"> “medically necessary” exemption with respect to the statutory exclusion of payment for foot care.</w:t>
      </w:r>
      <w:r w:rsidR="003C56CF">
        <w:rPr>
          <w:rStyle w:val="EndnoteReference"/>
          <w:rFonts w:ascii="Times New Roman" w:hAnsi="Times New Roman" w:cs="Times New Roman"/>
          <w:bCs/>
          <w:sz w:val="24"/>
          <w:szCs w:val="24"/>
        </w:rPr>
        <w:endnoteReference w:id="2"/>
      </w:r>
      <w:r w:rsidRPr="00EE75C5">
        <w:rPr>
          <w:rFonts w:ascii="Times New Roman" w:hAnsi="Times New Roman" w:cs="Times New Roman"/>
          <w:bCs/>
          <w:color w:val="FF0000"/>
          <w:sz w:val="24"/>
          <w:szCs w:val="24"/>
        </w:rPr>
        <w:t xml:space="preserve"> </w:t>
      </w:r>
    </w:p>
    <w:p w14:paraId="33D3C6EF" w14:textId="72A2202D" w:rsidR="0089198B" w:rsidRPr="00B372CF" w:rsidRDefault="004E678A" w:rsidP="004814D9">
      <w:pPr>
        <w:rPr>
          <w:rFonts w:ascii="Times New Roman" w:hAnsi="Times New Roman" w:cs="Times New Roman"/>
          <w:b/>
          <w:bCs/>
          <w:sz w:val="24"/>
          <w:szCs w:val="24"/>
        </w:rPr>
      </w:pPr>
      <w:r w:rsidRPr="00B372CF">
        <w:rPr>
          <w:rFonts w:ascii="Times New Roman" w:hAnsi="Times New Roman" w:cs="Times New Roman"/>
          <w:bCs/>
          <w:sz w:val="24"/>
          <w:szCs w:val="24"/>
        </w:rPr>
        <w:t>W</w:t>
      </w:r>
      <w:r w:rsidR="00EE75C5" w:rsidRPr="00B372CF">
        <w:rPr>
          <w:rFonts w:ascii="Times New Roman" w:hAnsi="Times New Roman" w:cs="Times New Roman"/>
          <w:bCs/>
          <w:sz w:val="24"/>
          <w:szCs w:val="24"/>
        </w:rPr>
        <w:t>e are pleased to see that CMS is considerin</w:t>
      </w:r>
      <w:r w:rsidR="00A95B2B">
        <w:rPr>
          <w:rFonts w:ascii="Times New Roman" w:hAnsi="Times New Roman" w:cs="Times New Roman"/>
          <w:bCs/>
          <w:sz w:val="24"/>
          <w:szCs w:val="24"/>
        </w:rPr>
        <w:t xml:space="preserve">g dental coverage related to </w:t>
      </w:r>
      <w:r w:rsidR="00791C00" w:rsidRPr="00B372CF">
        <w:rPr>
          <w:rFonts w:ascii="Times New Roman" w:hAnsi="Times New Roman" w:cs="Times New Roman"/>
          <w:bCs/>
          <w:sz w:val="24"/>
          <w:szCs w:val="24"/>
        </w:rPr>
        <w:t>a variety of clinical scenarios, including</w:t>
      </w:r>
      <w:r w:rsidR="00EE75C5" w:rsidRPr="00B372CF">
        <w:rPr>
          <w:rFonts w:ascii="Times New Roman" w:hAnsi="Times New Roman" w:cs="Times New Roman"/>
          <w:bCs/>
          <w:sz w:val="24"/>
          <w:szCs w:val="24"/>
        </w:rPr>
        <w:t xml:space="preserve"> certain surgical procedures, transplants, cancer treatments, diabetes and </w:t>
      </w:r>
      <w:r w:rsidR="002105CF">
        <w:rPr>
          <w:rFonts w:ascii="Times New Roman" w:hAnsi="Times New Roman" w:cs="Times New Roman"/>
          <w:bCs/>
          <w:sz w:val="24"/>
          <w:szCs w:val="24"/>
        </w:rPr>
        <w:t xml:space="preserve">other </w:t>
      </w:r>
      <w:r w:rsidR="00EE75C5" w:rsidRPr="00B372CF">
        <w:rPr>
          <w:rFonts w:ascii="Times New Roman" w:hAnsi="Times New Roman" w:cs="Times New Roman"/>
          <w:bCs/>
          <w:sz w:val="24"/>
          <w:szCs w:val="24"/>
        </w:rPr>
        <w:t>chronic</w:t>
      </w:r>
      <w:r w:rsidR="002105CF">
        <w:rPr>
          <w:rFonts w:ascii="Times New Roman" w:hAnsi="Times New Roman" w:cs="Times New Roman"/>
          <w:bCs/>
          <w:sz w:val="24"/>
          <w:szCs w:val="24"/>
        </w:rPr>
        <w:t xml:space="preserve"> disease management</w:t>
      </w:r>
      <w:r w:rsidR="00EE75C5" w:rsidRPr="00B372CF">
        <w:rPr>
          <w:rFonts w:ascii="Times New Roman" w:hAnsi="Times New Roman" w:cs="Times New Roman"/>
          <w:bCs/>
          <w:sz w:val="24"/>
          <w:szCs w:val="24"/>
        </w:rPr>
        <w:t xml:space="preserve">, immunosuppression, heart disease treatments and other circumstances. </w:t>
      </w:r>
      <w:r w:rsidR="00392B25">
        <w:rPr>
          <w:rFonts w:ascii="Times New Roman" w:hAnsi="Times New Roman" w:cs="Times New Roman"/>
          <w:bCs/>
          <w:sz w:val="24"/>
          <w:szCs w:val="24"/>
        </w:rPr>
        <w:t>T</w:t>
      </w:r>
      <w:r w:rsidRPr="00B372CF">
        <w:rPr>
          <w:rFonts w:ascii="Times New Roman" w:hAnsi="Times New Roman" w:cs="Times New Roman"/>
          <w:bCs/>
          <w:sz w:val="24"/>
          <w:szCs w:val="24"/>
        </w:rPr>
        <w:t xml:space="preserve">here is strong legal consensus </w:t>
      </w:r>
      <w:r w:rsidR="00435A59">
        <w:rPr>
          <w:rFonts w:ascii="Times New Roman" w:hAnsi="Times New Roman" w:cs="Times New Roman"/>
          <w:bCs/>
          <w:sz w:val="24"/>
          <w:szCs w:val="24"/>
        </w:rPr>
        <w:t>supporting the</w:t>
      </w:r>
      <w:r w:rsidRPr="00B372CF">
        <w:rPr>
          <w:rFonts w:ascii="Times New Roman" w:hAnsi="Times New Roman" w:cs="Times New Roman"/>
          <w:bCs/>
          <w:sz w:val="24"/>
          <w:szCs w:val="24"/>
        </w:rPr>
        <w:t xml:space="preserve"> action</w:t>
      </w:r>
      <w:r w:rsidR="00435A59">
        <w:rPr>
          <w:rFonts w:ascii="Times New Roman" w:hAnsi="Times New Roman" w:cs="Times New Roman"/>
          <w:bCs/>
          <w:sz w:val="24"/>
          <w:szCs w:val="24"/>
        </w:rPr>
        <w:t>s CMS has proposed, as well as adding coverage for additional medical scenarios that CMS is considering</w:t>
      </w:r>
      <w:r w:rsidRPr="00B372CF">
        <w:rPr>
          <w:rFonts w:ascii="Times New Roman" w:hAnsi="Times New Roman" w:cs="Times New Roman"/>
          <w:bCs/>
          <w:sz w:val="24"/>
          <w:szCs w:val="24"/>
        </w:rPr>
        <w:t>.</w:t>
      </w:r>
      <w:r w:rsidR="00392B25">
        <w:rPr>
          <w:rStyle w:val="EndnoteReference"/>
          <w:rFonts w:ascii="Times New Roman" w:hAnsi="Times New Roman" w:cs="Times New Roman"/>
          <w:bCs/>
          <w:sz w:val="24"/>
          <w:szCs w:val="24"/>
        </w:rPr>
        <w:endnoteReference w:id="3"/>
      </w:r>
      <w:r w:rsidRPr="00B372CF">
        <w:rPr>
          <w:rFonts w:ascii="Times New Roman" w:hAnsi="Times New Roman" w:cs="Times New Roman"/>
          <w:bCs/>
          <w:sz w:val="24"/>
          <w:szCs w:val="24"/>
        </w:rPr>
        <w:t xml:space="preserve"> Additionally, we know t</w:t>
      </w:r>
      <w:r w:rsidR="00EE75C5" w:rsidRPr="00B372CF">
        <w:rPr>
          <w:rFonts w:ascii="Times New Roman" w:hAnsi="Times New Roman" w:cs="Times New Roman"/>
          <w:bCs/>
          <w:sz w:val="24"/>
          <w:szCs w:val="24"/>
        </w:rPr>
        <w:t>here is clinical consensus from many leading medical experts and professional associations about the importance of dental care in these and other</w:t>
      </w:r>
      <w:r w:rsidR="003B2233">
        <w:rPr>
          <w:rFonts w:ascii="Times New Roman" w:hAnsi="Times New Roman" w:cs="Times New Roman"/>
          <w:bCs/>
          <w:sz w:val="24"/>
          <w:szCs w:val="24"/>
        </w:rPr>
        <w:t xml:space="preserve"> medical</w:t>
      </w:r>
      <w:r w:rsidR="00EE75C5" w:rsidRPr="00B372CF">
        <w:rPr>
          <w:rFonts w:ascii="Times New Roman" w:hAnsi="Times New Roman" w:cs="Times New Roman"/>
          <w:bCs/>
          <w:sz w:val="24"/>
          <w:szCs w:val="24"/>
        </w:rPr>
        <w:t xml:space="preserve"> treatments.</w:t>
      </w:r>
      <w:r w:rsidR="007D047A">
        <w:rPr>
          <w:rStyle w:val="EndnoteReference"/>
          <w:rFonts w:ascii="Times New Roman" w:hAnsi="Times New Roman" w:cs="Times New Roman"/>
          <w:bCs/>
          <w:sz w:val="24"/>
          <w:szCs w:val="24"/>
        </w:rPr>
        <w:endnoteReference w:id="4"/>
      </w:r>
      <w:r w:rsidR="00287F0B" w:rsidRPr="00B372CF">
        <w:rPr>
          <w:rFonts w:ascii="Times New Roman" w:hAnsi="Times New Roman" w:cs="Times New Roman"/>
          <w:bCs/>
          <w:sz w:val="24"/>
          <w:szCs w:val="24"/>
        </w:rPr>
        <w:t xml:space="preserve"> </w:t>
      </w:r>
      <w:r w:rsidR="00EF4EB5" w:rsidRPr="00B372CF">
        <w:rPr>
          <w:rFonts w:ascii="Times New Roman" w:hAnsi="Times New Roman" w:cs="Times New Roman"/>
          <w:b/>
          <w:bCs/>
          <w:sz w:val="24"/>
          <w:szCs w:val="24"/>
        </w:rPr>
        <w:t>W</w:t>
      </w:r>
      <w:r w:rsidR="00D67EAE" w:rsidRPr="00B372CF">
        <w:rPr>
          <w:rFonts w:ascii="Times New Roman" w:hAnsi="Times New Roman" w:cs="Times New Roman"/>
          <w:b/>
          <w:bCs/>
          <w:sz w:val="24"/>
          <w:szCs w:val="24"/>
        </w:rPr>
        <w:t>e strongly support th</w:t>
      </w:r>
      <w:r w:rsidR="00975A8F" w:rsidRPr="00B372CF">
        <w:rPr>
          <w:rFonts w:ascii="Times New Roman" w:hAnsi="Times New Roman" w:cs="Times New Roman"/>
          <w:b/>
          <w:bCs/>
          <w:sz w:val="24"/>
          <w:szCs w:val="24"/>
        </w:rPr>
        <w:t>e proposed clarification</w:t>
      </w:r>
      <w:r w:rsidR="004814D9" w:rsidRPr="00B372CF">
        <w:rPr>
          <w:rFonts w:ascii="Times New Roman" w:hAnsi="Times New Roman" w:cs="Times New Roman"/>
          <w:b/>
          <w:bCs/>
          <w:sz w:val="24"/>
          <w:szCs w:val="24"/>
        </w:rPr>
        <w:t xml:space="preserve"> and codification of existing authority, and, as discussed below, we encourage CMS to apply this authority in all settings and clinical circumstances where it is appropriate. </w:t>
      </w:r>
    </w:p>
    <w:p w14:paraId="0BB39D17" w14:textId="049E2804" w:rsidR="003B2233" w:rsidRDefault="00791C00" w:rsidP="003B2233">
      <w:pPr>
        <w:pStyle w:val="ListParagraph"/>
        <w:numPr>
          <w:ilvl w:val="0"/>
          <w:numId w:val="9"/>
        </w:numPr>
        <w:rPr>
          <w:rFonts w:ascii="Times New Roman" w:hAnsi="Times New Roman" w:cs="Times New Roman"/>
          <w:b/>
          <w:bCs/>
          <w:sz w:val="24"/>
          <w:szCs w:val="24"/>
          <w:u w:val="single"/>
        </w:rPr>
      </w:pPr>
      <w:r w:rsidRPr="003B2233">
        <w:rPr>
          <w:rFonts w:ascii="Times New Roman" w:hAnsi="Times New Roman" w:cs="Times New Roman"/>
          <w:b/>
          <w:bCs/>
          <w:sz w:val="24"/>
          <w:szCs w:val="24"/>
          <w:u w:val="single"/>
        </w:rPr>
        <w:t xml:space="preserve">Comment on </w:t>
      </w:r>
      <w:r w:rsidR="00B372CF" w:rsidRPr="003B2233">
        <w:rPr>
          <w:rFonts w:ascii="Times New Roman" w:hAnsi="Times New Roman" w:cs="Times New Roman"/>
          <w:b/>
          <w:bCs/>
          <w:sz w:val="24"/>
          <w:szCs w:val="24"/>
          <w:u w:val="single"/>
        </w:rPr>
        <w:t xml:space="preserve">Additional </w:t>
      </w:r>
      <w:r w:rsidRPr="003B2233">
        <w:rPr>
          <w:rFonts w:ascii="Times New Roman" w:hAnsi="Times New Roman" w:cs="Times New Roman"/>
          <w:b/>
          <w:bCs/>
          <w:sz w:val="24"/>
          <w:szCs w:val="24"/>
          <w:u w:val="single"/>
        </w:rPr>
        <w:t>Proposals and Request</w:t>
      </w:r>
      <w:r w:rsidR="00B372CF" w:rsidRPr="003B2233">
        <w:rPr>
          <w:rFonts w:ascii="Times New Roman" w:hAnsi="Times New Roman" w:cs="Times New Roman"/>
          <w:b/>
          <w:bCs/>
          <w:sz w:val="24"/>
          <w:szCs w:val="24"/>
          <w:u w:val="single"/>
        </w:rPr>
        <w:t>s</w:t>
      </w:r>
      <w:r w:rsidRPr="003B2233">
        <w:rPr>
          <w:rFonts w:ascii="Times New Roman" w:hAnsi="Times New Roman" w:cs="Times New Roman"/>
          <w:b/>
          <w:bCs/>
          <w:sz w:val="24"/>
          <w:szCs w:val="24"/>
          <w:u w:val="single"/>
        </w:rPr>
        <w:t xml:space="preserve"> for Information </w:t>
      </w:r>
    </w:p>
    <w:p w14:paraId="4271DED2" w14:textId="77777777" w:rsidR="003B2233" w:rsidRDefault="003B2233" w:rsidP="003B2233">
      <w:pPr>
        <w:pStyle w:val="ListParagraph"/>
        <w:ind w:left="1080"/>
        <w:rPr>
          <w:rFonts w:ascii="Times New Roman" w:hAnsi="Times New Roman" w:cs="Times New Roman"/>
          <w:b/>
          <w:bCs/>
          <w:sz w:val="24"/>
          <w:szCs w:val="24"/>
          <w:u w:val="single"/>
        </w:rPr>
      </w:pPr>
    </w:p>
    <w:p w14:paraId="551756A9" w14:textId="77777777" w:rsidR="003B2233" w:rsidRPr="003B2233" w:rsidRDefault="002105CF" w:rsidP="002105CF">
      <w:pPr>
        <w:pStyle w:val="ListParagraph"/>
        <w:numPr>
          <w:ilvl w:val="1"/>
          <w:numId w:val="9"/>
        </w:numPr>
        <w:rPr>
          <w:rFonts w:ascii="Times New Roman" w:hAnsi="Times New Roman" w:cs="Times New Roman"/>
          <w:b/>
          <w:bCs/>
          <w:sz w:val="24"/>
          <w:szCs w:val="24"/>
          <w:u w:val="single"/>
        </w:rPr>
      </w:pPr>
      <w:r w:rsidRPr="003B2233">
        <w:rPr>
          <w:rFonts w:ascii="Times New Roman" w:hAnsi="Times New Roman" w:cs="Times New Roman"/>
          <w:bCs/>
          <w:sz w:val="24"/>
          <w:szCs w:val="24"/>
          <w:u w:val="single"/>
        </w:rPr>
        <w:t>Clarifying and Codifying Payment Policies for Certain Dental Services</w:t>
      </w:r>
    </w:p>
    <w:p w14:paraId="588396AC" w14:textId="77777777" w:rsidR="003B2233" w:rsidRPr="003B2233" w:rsidRDefault="003B2233" w:rsidP="003B2233">
      <w:pPr>
        <w:pStyle w:val="ListParagraph"/>
        <w:ind w:left="1440"/>
        <w:rPr>
          <w:rFonts w:ascii="Times New Roman" w:hAnsi="Times New Roman" w:cs="Times New Roman"/>
          <w:b/>
          <w:bCs/>
          <w:sz w:val="24"/>
          <w:szCs w:val="24"/>
          <w:u w:val="single"/>
        </w:rPr>
      </w:pPr>
    </w:p>
    <w:p w14:paraId="32664943" w14:textId="77777777" w:rsidR="00D87FE4" w:rsidRDefault="002105CF" w:rsidP="003B2233">
      <w:pPr>
        <w:pStyle w:val="ListParagraph"/>
        <w:ind w:left="1440"/>
        <w:rPr>
          <w:rFonts w:ascii="Times New Roman" w:hAnsi="Times New Roman" w:cs="Times New Roman"/>
          <w:bCs/>
          <w:sz w:val="24"/>
          <w:szCs w:val="24"/>
        </w:rPr>
      </w:pPr>
      <w:r w:rsidRPr="003B2233">
        <w:rPr>
          <w:rFonts w:ascii="Times New Roman" w:hAnsi="Times New Roman" w:cs="Times New Roman"/>
          <w:bCs/>
          <w:sz w:val="24"/>
          <w:szCs w:val="24"/>
        </w:rPr>
        <w:t>CMS</w:t>
      </w:r>
      <w:r w:rsidR="003B2233" w:rsidRPr="003B2233">
        <w:rPr>
          <w:rFonts w:ascii="Times New Roman" w:hAnsi="Times New Roman" w:cs="Times New Roman"/>
          <w:bCs/>
          <w:sz w:val="24"/>
          <w:szCs w:val="24"/>
        </w:rPr>
        <w:t xml:space="preserve"> proposes</w:t>
      </w:r>
      <w:r w:rsidRPr="003B2233">
        <w:rPr>
          <w:rFonts w:ascii="Times New Roman" w:hAnsi="Times New Roman" w:cs="Times New Roman"/>
          <w:bCs/>
          <w:sz w:val="24"/>
          <w:szCs w:val="24"/>
        </w:rPr>
        <w:t xml:space="preserve"> to </w:t>
      </w:r>
      <w:r w:rsidR="00CC5697" w:rsidRPr="003B2233">
        <w:rPr>
          <w:rFonts w:ascii="Times New Roman" w:hAnsi="Times New Roman" w:cs="Times New Roman"/>
          <w:bCs/>
          <w:sz w:val="24"/>
          <w:szCs w:val="24"/>
        </w:rPr>
        <w:t xml:space="preserve">clarify and </w:t>
      </w:r>
      <w:r w:rsidR="003B2233" w:rsidRPr="003B2233">
        <w:rPr>
          <w:rFonts w:ascii="Times New Roman" w:hAnsi="Times New Roman" w:cs="Times New Roman"/>
          <w:bCs/>
          <w:sz w:val="24"/>
          <w:szCs w:val="24"/>
        </w:rPr>
        <w:t xml:space="preserve">codify </w:t>
      </w:r>
      <w:r w:rsidRPr="003B2233">
        <w:rPr>
          <w:rFonts w:ascii="Times New Roman" w:hAnsi="Times New Roman" w:cs="Times New Roman"/>
          <w:bCs/>
          <w:sz w:val="24"/>
          <w:szCs w:val="24"/>
        </w:rPr>
        <w:t>existing examples of “medically necessary” dental coverage.</w:t>
      </w:r>
      <w:r w:rsidRPr="003B2233">
        <w:rPr>
          <w:rFonts w:ascii="Times New Roman" w:hAnsi="Times New Roman" w:cs="Times New Roman"/>
          <w:b/>
          <w:bCs/>
          <w:sz w:val="24"/>
          <w:szCs w:val="24"/>
        </w:rPr>
        <w:t xml:space="preserve"> </w:t>
      </w:r>
      <w:r w:rsidRPr="003B2233">
        <w:rPr>
          <w:rFonts w:ascii="Times New Roman" w:hAnsi="Times New Roman" w:cs="Times New Roman"/>
          <w:bCs/>
          <w:sz w:val="24"/>
          <w:szCs w:val="24"/>
        </w:rPr>
        <w:t>Medicare’s dental policy already recognizes the following examples of dental services that are payable because they are integral to a covered medical service: the wiring of teeth when done in connection with an otherwise covered medical service, the reduction of a jaw fracture, the extraction of teeth to prepare the jaw for radiation treatment of neoplastic disease, dental splints when used in conjunction with covered treatment of a medical condition, and an oral or dental examination performed as part of a comprehensive workup prior to renal transplant surgery.</w:t>
      </w:r>
      <w:r w:rsidR="003B2233">
        <w:rPr>
          <w:rFonts w:ascii="Times New Roman" w:hAnsi="Times New Roman" w:cs="Times New Roman"/>
          <w:bCs/>
          <w:sz w:val="24"/>
          <w:szCs w:val="24"/>
        </w:rPr>
        <w:t xml:space="preserve"> CMS also proposes to codify</w:t>
      </w:r>
      <w:r w:rsidRPr="003B2233">
        <w:rPr>
          <w:rFonts w:ascii="Times New Roman" w:hAnsi="Times New Roman" w:cs="Times New Roman"/>
          <w:bCs/>
          <w:sz w:val="24"/>
          <w:szCs w:val="24"/>
        </w:rPr>
        <w:t xml:space="preserve"> additional specific examples</w:t>
      </w:r>
      <w:r w:rsidR="003B2233">
        <w:rPr>
          <w:rFonts w:ascii="Times New Roman" w:hAnsi="Times New Roman" w:cs="Times New Roman"/>
          <w:bCs/>
          <w:sz w:val="24"/>
          <w:szCs w:val="24"/>
        </w:rPr>
        <w:t xml:space="preserve"> in </w:t>
      </w:r>
      <w:r w:rsidR="003B2233">
        <w:rPr>
          <w:rFonts w:ascii="Times New Roman" w:hAnsi="Times New Roman" w:cs="Times New Roman"/>
          <w:bCs/>
          <w:sz w:val="24"/>
          <w:szCs w:val="24"/>
        </w:rPr>
        <w:lastRenderedPageBreak/>
        <w:t>which the proposed coverage standard applies</w:t>
      </w:r>
      <w:r w:rsidRPr="003B2233">
        <w:rPr>
          <w:rFonts w:ascii="Times New Roman" w:hAnsi="Times New Roman" w:cs="Times New Roman"/>
          <w:bCs/>
          <w:sz w:val="24"/>
          <w:szCs w:val="24"/>
        </w:rPr>
        <w:t>,</w:t>
      </w:r>
      <w:r w:rsidR="003B2233">
        <w:rPr>
          <w:rFonts w:ascii="Times New Roman" w:hAnsi="Times New Roman" w:cs="Times New Roman"/>
          <w:bCs/>
          <w:sz w:val="24"/>
          <w:szCs w:val="24"/>
        </w:rPr>
        <w:t xml:space="preserve"> including</w:t>
      </w:r>
      <w:r w:rsidRPr="003B2233">
        <w:rPr>
          <w:rFonts w:ascii="Times New Roman" w:hAnsi="Times New Roman" w:cs="Times New Roman"/>
          <w:bCs/>
          <w:sz w:val="24"/>
          <w:szCs w:val="24"/>
        </w:rPr>
        <w:t xml:space="preserve"> dental examinations and necessary treatment performed as part of a comprehensive workup prior to organ transplant surgery, cardiac valve replacement or valvuloplasty procedures.</w:t>
      </w:r>
      <w:r w:rsidR="003B2233">
        <w:rPr>
          <w:rFonts w:ascii="Times New Roman" w:hAnsi="Times New Roman" w:cs="Times New Roman"/>
          <w:bCs/>
          <w:sz w:val="24"/>
          <w:szCs w:val="24"/>
        </w:rPr>
        <w:t xml:space="preserve"> </w:t>
      </w:r>
      <w:r w:rsidRPr="003B2233">
        <w:rPr>
          <w:rFonts w:ascii="Times New Roman" w:hAnsi="Times New Roman" w:cs="Times New Roman"/>
          <w:bCs/>
          <w:sz w:val="24"/>
          <w:szCs w:val="24"/>
        </w:rPr>
        <w:t xml:space="preserve"> </w:t>
      </w:r>
    </w:p>
    <w:p w14:paraId="649C24F3" w14:textId="77777777" w:rsidR="00D87FE4" w:rsidRDefault="00D87FE4" w:rsidP="003B2233">
      <w:pPr>
        <w:pStyle w:val="ListParagraph"/>
        <w:ind w:left="1440"/>
        <w:rPr>
          <w:rFonts w:ascii="Times New Roman" w:hAnsi="Times New Roman" w:cs="Times New Roman"/>
          <w:bCs/>
          <w:sz w:val="24"/>
          <w:szCs w:val="24"/>
        </w:rPr>
      </w:pPr>
    </w:p>
    <w:p w14:paraId="5A8A6FE8" w14:textId="191563A3" w:rsidR="002105CF" w:rsidRPr="003B2233" w:rsidRDefault="002105CF" w:rsidP="003B2233">
      <w:pPr>
        <w:pStyle w:val="ListParagraph"/>
        <w:ind w:left="1440"/>
        <w:rPr>
          <w:rFonts w:ascii="Times New Roman" w:hAnsi="Times New Roman" w:cs="Times New Roman"/>
          <w:b/>
          <w:bCs/>
          <w:sz w:val="24"/>
          <w:szCs w:val="24"/>
          <w:u w:val="single"/>
        </w:rPr>
      </w:pPr>
      <w:r w:rsidRPr="003B2233">
        <w:rPr>
          <w:rFonts w:ascii="Times New Roman" w:hAnsi="Times New Roman" w:cs="Times New Roman"/>
          <w:b/>
          <w:bCs/>
          <w:sz w:val="24"/>
          <w:szCs w:val="24"/>
        </w:rPr>
        <w:t xml:space="preserve">We support CMS’s proposal to </w:t>
      </w:r>
      <w:r w:rsidR="00CC5697" w:rsidRPr="003B2233">
        <w:rPr>
          <w:rFonts w:ascii="Times New Roman" w:hAnsi="Times New Roman" w:cs="Times New Roman"/>
          <w:b/>
          <w:bCs/>
          <w:sz w:val="24"/>
          <w:szCs w:val="24"/>
        </w:rPr>
        <w:t xml:space="preserve">clarify and </w:t>
      </w:r>
      <w:r w:rsidR="003B2233">
        <w:rPr>
          <w:rFonts w:ascii="Times New Roman" w:hAnsi="Times New Roman" w:cs="Times New Roman"/>
          <w:b/>
          <w:bCs/>
          <w:sz w:val="24"/>
          <w:szCs w:val="24"/>
        </w:rPr>
        <w:t>codify the</w:t>
      </w:r>
      <w:r w:rsidRPr="003B2233">
        <w:rPr>
          <w:rFonts w:ascii="Times New Roman" w:hAnsi="Times New Roman" w:cs="Times New Roman"/>
          <w:b/>
          <w:bCs/>
          <w:sz w:val="24"/>
          <w:szCs w:val="24"/>
        </w:rPr>
        <w:t xml:space="preserve"> existing examples of “medically necessary” dental coverage. We also support CMS’s proposal to recognize, as additional specific examples, dental examinations and necessary treatment performed as part of a comprehensive workup prior to organ transplant surgery, cardiac valve replacement or valvuloplasty procedures.</w:t>
      </w:r>
    </w:p>
    <w:p w14:paraId="2465A028" w14:textId="77777777" w:rsidR="00CC5697" w:rsidRPr="00CC5697" w:rsidRDefault="00CC5697" w:rsidP="00CC5697">
      <w:pPr>
        <w:rPr>
          <w:rFonts w:ascii="Times New Roman" w:hAnsi="Times New Roman" w:cs="Times New Roman"/>
          <w:bCs/>
          <w:sz w:val="24"/>
          <w:szCs w:val="24"/>
          <w:u w:val="single"/>
        </w:rPr>
      </w:pPr>
    </w:p>
    <w:p w14:paraId="0F5F7E96" w14:textId="77777777" w:rsidR="003B2233" w:rsidRDefault="00092FAB" w:rsidP="003B2233">
      <w:pPr>
        <w:pStyle w:val="ListParagraph"/>
        <w:numPr>
          <w:ilvl w:val="1"/>
          <w:numId w:val="9"/>
        </w:numPr>
        <w:rPr>
          <w:rFonts w:ascii="Times New Roman" w:hAnsi="Times New Roman" w:cs="Times New Roman"/>
          <w:bCs/>
          <w:sz w:val="24"/>
          <w:szCs w:val="24"/>
          <w:u w:val="single"/>
        </w:rPr>
      </w:pPr>
      <w:r w:rsidRPr="003B2233">
        <w:rPr>
          <w:rFonts w:ascii="Times New Roman" w:hAnsi="Times New Roman" w:cs="Times New Roman"/>
          <w:bCs/>
          <w:sz w:val="24"/>
          <w:szCs w:val="24"/>
          <w:u w:val="single"/>
        </w:rPr>
        <w:t xml:space="preserve">Covering </w:t>
      </w:r>
      <w:proofErr w:type="gramStart"/>
      <w:r w:rsidRPr="003B2233">
        <w:rPr>
          <w:rFonts w:ascii="Times New Roman" w:hAnsi="Times New Roman" w:cs="Times New Roman"/>
          <w:bCs/>
          <w:sz w:val="24"/>
          <w:szCs w:val="24"/>
          <w:u w:val="single"/>
        </w:rPr>
        <w:t>medically-related</w:t>
      </w:r>
      <w:proofErr w:type="gramEnd"/>
      <w:r w:rsidRPr="003B2233">
        <w:rPr>
          <w:rFonts w:ascii="Times New Roman" w:hAnsi="Times New Roman" w:cs="Times New Roman"/>
          <w:bCs/>
          <w:sz w:val="24"/>
          <w:szCs w:val="24"/>
          <w:u w:val="single"/>
        </w:rPr>
        <w:t xml:space="preserve"> dental services in inpatient and outpatient settings</w:t>
      </w:r>
    </w:p>
    <w:p w14:paraId="46A3E05D" w14:textId="77777777" w:rsidR="003B2233" w:rsidRDefault="003B2233" w:rsidP="003B2233">
      <w:pPr>
        <w:pStyle w:val="ListParagraph"/>
        <w:ind w:left="1440"/>
        <w:rPr>
          <w:rFonts w:ascii="Times New Roman" w:hAnsi="Times New Roman" w:cs="Times New Roman"/>
          <w:bCs/>
          <w:sz w:val="24"/>
          <w:szCs w:val="24"/>
          <w:u w:val="single"/>
        </w:rPr>
      </w:pPr>
    </w:p>
    <w:p w14:paraId="3120BDAA" w14:textId="77777777" w:rsidR="00D87FE4" w:rsidRDefault="00092FAB" w:rsidP="003B2233">
      <w:pPr>
        <w:pStyle w:val="ListParagraph"/>
        <w:ind w:left="1440"/>
        <w:rPr>
          <w:rFonts w:ascii="Times New Roman" w:hAnsi="Times New Roman" w:cs="Times New Roman"/>
          <w:sz w:val="24"/>
          <w:szCs w:val="24"/>
        </w:rPr>
      </w:pPr>
      <w:r w:rsidRPr="003B2233">
        <w:rPr>
          <w:rFonts w:ascii="Times New Roman" w:hAnsi="Times New Roman" w:cs="Times New Roman"/>
          <w:sz w:val="24"/>
          <w:szCs w:val="24"/>
        </w:rPr>
        <w:t>CMS proposes</w:t>
      </w:r>
      <w:r w:rsidR="00CC5697" w:rsidRPr="00435A59">
        <w:t xml:space="preserve"> </w:t>
      </w:r>
      <w:r w:rsidR="00CC5697" w:rsidRPr="003B2233">
        <w:rPr>
          <w:rFonts w:ascii="Times New Roman" w:hAnsi="Times New Roman" w:cs="Times New Roman"/>
          <w:sz w:val="24"/>
          <w:szCs w:val="24"/>
        </w:rPr>
        <w:t xml:space="preserve">to interpret the statute to permit Medicare payment for dental services “inextricably linked to, and substantially related and integral to the clinical success of, certain other covered medical services” and </w:t>
      </w:r>
      <w:r w:rsidR="00435A59" w:rsidRPr="003B2233">
        <w:rPr>
          <w:rFonts w:ascii="Times New Roman" w:hAnsi="Times New Roman" w:cs="Times New Roman"/>
          <w:sz w:val="24"/>
          <w:szCs w:val="24"/>
        </w:rPr>
        <w:t>“</w:t>
      </w:r>
      <w:r w:rsidR="00CC5697" w:rsidRPr="003B2233">
        <w:rPr>
          <w:rFonts w:ascii="Times New Roman" w:hAnsi="Times New Roman" w:cs="Times New Roman"/>
          <w:sz w:val="24"/>
          <w:szCs w:val="24"/>
        </w:rPr>
        <w:t xml:space="preserve">to allow payment to be made, </w:t>
      </w:r>
      <w:r w:rsidR="00CC5697" w:rsidRPr="003B2233">
        <w:rPr>
          <w:rFonts w:ascii="Times New Roman" w:hAnsi="Times New Roman" w:cs="Times New Roman"/>
          <w:i/>
          <w:sz w:val="24"/>
          <w:szCs w:val="24"/>
        </w:rPr>
        <w:t>regardless of whether the services are furnished in an inpatient or outpatient setting</w:t>
      </w:r>
      <w:r w:rsidR="00435A59" w:rsidRPr="003B2233">
        <w:rPr>
          <w:rFonts w:ascii="Times New Roman" w:hAnsi="Times New Roman" w:cs="Times New Roman"/>
          <w:i/>
          <w:sz w:val="24"/>
          <w:szCs w:val="24"/>
        </w:rPr>
        <w:t>”</w:t>
      </w:r>
      <w:r w:rsidR="00CC5697" w:rsidRPr="003B2233">
        <w:rPr>
          <w:rFonts w:ascii="Times New Roman" w:hAnsi="Times New Roman" w:cs="Times New Roman"/>
          <w:i/>
          <w:sz w:val="24"/>
          <w:szCs w:val="24"/>
        </w:rPr>
        <w:t>.</w:t>
      </w:r>
      <w:r w:rsidR="00CC5697" w:rsidRPr="003B2233">
        <w:rPr>
          <w:rFonts w:ascii="Times New Roman" w:hAnsi="Times New Roman" w:cs="Times New Roman"/>
          <w:sz w:val="24"/>
          <w:szCs w:val="24"/>
        </w:rPr>
        <w:t xml:space="preserve"> CMS is also specifically</w:t>
      </w:r>
      <w:r w:rsidR="00CC5697" w:rsidRPr="00CC5697">
        <w:t xml:space="preserve"> </w:t>
      </w:r>
      <w:r w:rsidR="00CC5697" w:rsidRPr="003B2233">
        <w:rPr>
          <w:rFonts w:ascii="Times New Roman" w:hAnsi="Times New Roman" w:cs="Times New Roman"/>
          <w:sz w:val="24"/>
          <w:szCs w:val="24"/>
        </w:rPr>
        <w:t xml:space="preserve">proposing to </w:t>
      </w:r>
      <w:r w:rsidR="00435A59" w:rsidRPr="003B2233">
        <w:rPr>
          <w:rFonts w:ascii="Times New Roman" w:hAnsi="Times New Roman" w:cs="Times New Roman"/>
          <w:sz w:val="24"/>
          <w:szCs w:val="24"/>
        </w:rPr>
        <w:t>revise</w:t>
      </w:r>
      <w:r w:rsidR="00CC5697" w:rsidRPr="003B2233">
        <w:rPr>
          <w:rFonts w:ascii="Times New Roman" w:hAnsi="Times New Roman" w:cs="Times New Roman"/>
          <w:sz w:val="24"/>
          <w:szCs w:val="24"/>
        </w:rPr>
        <w:t xml:space="preserve"> regulation at § 411.15(</w:t>
      </w:r>
      <w:proofErr w:type="spellStart"/>
      <w:r w:rsidR="00CC5697" w:rsidRPr="003B2233">
        <w:rPr>
          <w:rFonts w:ascii="Times New Roman" w:hAnsi="Times New Roman" w:cs="Times New Roman"/>
          <w:sz w:val="24"/>
          <w:szCs w:val="24"/>
        </w:rPr>
        <w:t>i</w:t>
      </w:r>
      <w:proofErr w:type="spellEnd"/>
      <w:r w:rsidR="00CC5697" w:rsidRPr="003B2233">
        <w:rPr>
          <w:rFonts w:ascii="Times New Roman" w:hAnsi="Times New Roman" w:cs="Times New Roman"/>
          <w:sz w:val="24"/>
          <w:szCs w:val="24"/>
        </w:rPr>
        <w:t>) to ensure that the covered dental care that is part a comprehensive workup prior to renal transplant surgery can take place in an inpatient or outpatient setting</w:t>
      </w:r>
      <w:r w:rsidRPr="003B2233">
        <w:rPr>
          <w:rFonts w:ascii="Times New Roman" w:hAnsi="Times New Roman" w:cs="Times New Roman"/>
          <w:sz w:val="24"/>
          <w:szCs w:val="24"/>
        </w:rPr>
        <w:t xml:space="preserve">. </w:t>
      </w:r>
    </w:p>
    <w:p w14:paraId="691B1133" w14:textId="77777777" w:rsidR="00D87FE4" w:rsidRDefault="00D87FE4" w:rsidP="003B2233">
      <w:pPr>
        <w:pStyle w:val="ListParagraph"/>
        <w:ind w:left="1440"/>
        <w:rPr>
          <w:rFonts w:ascii="Times New Roman" w:hAnsi="Times New Roman" w:cs="Times New Roman"/>
          <w:sz w:val="24"/>
          <w:szCs w:val="24"/>
        </w:rPr>
      </w:pPr>
    </w:p>
    <w:p w14:paraId="0684DDA5" w14:textId="5018F926" w:rsidR="00092FAB" w:rsidRPr="003B2233" w:rsidRDefault="00CC5697" w:rsidP="003B2233">
      <w:pPr>
        <w:pStyle w:val="ListParagraph"/>
        <w:ind w:left="1440"/>
        <w:rPr>
          <w:rFonts w:ascii="Times New Roman" w:hAnsi="Times New Roman" w:cs="Times New Roman"/>
          <w:bCs/>
          <w:sz w:val="24"/>
          <w:szCs w:val="24"/>
          <w:u w:val="single"/>
        </w:rPr>
      </w:pPr>
      <w:r w:rsidRPr="003B2233">
        <w:rPr>
          <w:rFonts w:ascii="Times New Roman" w:hAnsi="Times New Roman" w:cs="Times New Roman"/>
          <w:sz w:val="24"/>
          <w:szCs w:val="24"/>
        </w:rPr>
        <w:t>We believe that c</w:t>
      </w:r>
      <w:r w:rsidRPr="003B2233">
        <w:rPr>
          <w:rFonts w:ascii="Times New Roman" w:hAnsi="Times New Roman" w:cs="Times New Roman"/>
          <w:bCs/>
          <w:sz w:val="24"/>
          <w:szCs w:val="24"/>
        </w:rPr>
        <w:t xml:space="preserve">overage—and thus care-- should not be unnecessarily limited by the </w:t>
      </w:r>
      <w:r w:rsidR="003B2233">
        <w:rPr>
          <w:rFonts w:ascii="Times New Roman" w:hAnsi="Times New Roman" w:cs="Times New Roman"/>
          <w:bCs/>
          <w:sz w:val="24"/>
          <w:szCs w:val="24"/>
        </w:rPr>
        <w:t xml:space="preserve">care </w:t>
      </w:r>
      <w:r w:rsidRPr="003B2233">
        <w:rPr>
          <w:rFonts w:ascii="Times New Roman" w:hAnsi="Times New Roman" w:cs="Times New Roman"/>
          <w:bCs/>
          <w:sz w:val="24"/>
          <w:szCs w:val="24"/>
        </w:rPr>
        <w:t>setting</w:t>
      </w:r>
      <w:r w:rsidR="003B2233">
        <w:rPr>
          <w:rFonts w:ascii="Times New Roman" w:hAnsi="Times New Roman" w:cs="Times New Roman"/>
          <w:bCs/>
          <w:sz w:val="24"/>
          <w:szCs w:val="24"/>
        </w:rPr>
        <w:t>, and that CMS is not constrained by its statutory authority</w:t>
      </w:r>
      <w:r w:rsidRPr="003B2233">
        <w:rPr>
          <w:rFonts w:ascii="Times New Roman" w:hAnsi="Times New Roman" w:cs="Times New Roman"/>
          <w:bCs/>
          <w:sz w:val="24"/>
          <w:szCs w:val="24"/>
        </w:rPr>
        <w:t>.</w:t>
      </w:r>
      <w:r w:rsidR="00435A59" w:rsidRPr="003B2233">
        <w:rPr>
          <w:rFonts w:ascii="Times New Roman" w:hAnsi="Times New Roman" w:cs="Times New Roman"/>
          <w:bCs/>
          <w:sz w:val="24"/>
          <w:szCs w:val="24"/>
        </w:rPr>
        <w:t xml:space="preserve"> </w:t>
      </w:r>
      <w:r w:rsidR="00435A59" w:rsidRPr="003B2233">
        <w:rPr>
          <w:rFonts w:ascii="Times New Roman" w:hAnsi="Times New Roman" w:cs="Times New Roman"/>
          <w:b/>
          <w:bCs/>
          <w:sz w:val="24"/>
          <w:szCs w:val="24"/>
        </w:rPr>
        <w:t>W</w:t>
      </w:r>
      <w:r w:rsidR="00EE75C5" w:rsidRPr="003B2233">
        <w:rPr>
          <w:rFonts w:ascii="Times New Roman" w:hAnsi="Times New Roman" w:cs="Times New Roman"/>
          <w:b/>
          <w:bCs/>
          <w:sz w:val="24"/>
          <w:szCs w:val="24"/>
        </w:rPr>
        <w:t xml:space="preserve">e </w:t>
      </w:r>
      <w:r w:rsidR="00B760F2" w:rsidRPr="003B2233">
        <w:rPr>
          <w:rFonts w:ascii="Times New Roman" w:hAnsi="Times New Roman" w:cs="Times New Roman"/>
          <w:b/>
          <w:bCs/>
          <w:sz w:val="24"/>
          <w:szCs w:val="24"/>
        </w:rPr>
        <w:t>agree with</w:t>
      </w:r>
      <w:r w:rsidR="00E01124" w:rsidRPr="003B2233">
        <w:rPr>
          <w:rFonts w:ascii="Times New Roman" w:hAnsi="Times New Roman" w:cs="Times New Roman"/>
          <w:b/>
          <w:bCs/>
          <w:sz w:val="24"/>
          <w:szCs w:val="24"/>
        </w:rPr>
        <w:t xml:space="preserve"> </w:t>
      </w:r>
      <w:r w:rsidR="00EE75C5" w:rsidRPr="003B2233">
        <w:rPr>
          <w:rFonts w:ascii="Times New Roman" w:hAnsi="Times New Roman" w:cs="Times New Roman"/>
          <w:b/>
          <w:bCs/>
          <w:sz w:val="24"/>
          <w:szCs w:val="24"/>
        </w:rPr>
        <w:t xml:space="preserve">CMS’ proposal to </w:t>
      </w:r>
      <w:r w:rsidR="00B760F2" w:rsidRPr="003B2233">
        <w:rPr>
          <w:rFonts w:ascii="Times New Roman" w:hAnsi="Times New Roman" w:cs="Times New Roman"/>
          <w:b/>
          <w:bCs/>
          <w:sz w:val="24"/>
          <w:szCs w:val="24"/>
        </w:rPr>
        <w:t xml:space="preserve">implement this </w:t>
      </w:r>
      <w:r w:rsidR="00EE75C5" w:rsidRPr="003B2233">
        <w:rPr>
          <w:rFonts w:ascii="Times New Roman" w:hAnsi="Times New Roman" w:cs="Times New Roman"/>
          <w:b/>
          <w:bCs/>
          <w:sz w:val="24"/>
          <w:szCs w:val="24"/>
        </w:rPr>
        <w:t xml:space="preserve">Medicare coverage and payment in </w:t>
      </w:r>
      <w:r w:rsidR="00EE75C5" w:rsidRPr="003B2233">
        <w:rPr>
          <w:rFonts w:ascii="Times New Roman" w:hAnsi="Times New Roman" w:cs="Times New Roman"/>
          <w:b/>
          <w:bCs/>
          <w:i/>
          <w:sz w:val="24"/>
          <w:szCs w:val="24"/>
        </w:rPr>
        <w:t>either an inpatient</w:t>
      </w:r>
      <w:r w:rsidR="00EE75C5" w:rsidRPr="003B2233">
        <w:rPr>
          <w:rFonts w:ascii="Times New Roman" w:hAnsi="Times New Roman" w:cs="Times New Roman"/>
          <w:b/>
          <w:bCs/>
          <w:sz w:val="24"/>
          <w:szCs w:val="24"/>
        </w:rPr>
        <w:t xml:space="preserve"> </w:t>
      </w:r>
      <w:r w:rsidR="00EE75C5" w:rsidRPr="003B2233">
        <w:rPr>
          <w:rFonts w:ascii="Times New Roman" w:hAnsi="Times New Roman" w:cs="Times New Roman"/>
          <w:b/>
          <w:bCs/>
          <w:i/>
          <w:iCs/>
          <w:sz w:val="24"/>
          <w:szCs w:val="24"/>
        </w:rPr>
        <w:t>or outpatient</w:t>
      </w:r>
      <w:r w:rsidR="00EE75C5" w:rsidRPr="003B2233">
        <w:rPr>
          <w:rFonts w:ascii="Times New Roman" w:hAnsi="Times New Roman" w:cs="Times New Roman"/>
          <w:b/>
          <w:bCs/>
          <w:sz w:val="24"/>
          <w:szCs w:val="24"/>
        </w:rPr>
        <w:t xml:space="preserve"> setting</w:t>
      </w:r>
      <w:r w:rsidR="003B2233">
        <w:rPr>
          <w:rFonts w:ascii="Times New Roman" w:hAnsi="Times New Roman" w:cs="Times New Roman"/>
          <w:b/>
          <w:bCs/>
          <w:sz w:val="24"/>
          <w:szCs w:val="24"/>
        </w:rPr>
        <w:t xml:space="preserve"> as it</w:t>
      </w:r>
      <w:r w:rsidR="00EE75C5" w:rsidRPr="003B2233">
        <w:rPr>
          <w:rFonts w:ascii="Times New Roman" w:hAnsi="Times New Roman" w:cs="Times New Roman"/>
          <w:b/>
          <w:bCs/>
          <w:sz w:val="24"/>
          <w:szCs w:val="24"/>
        </w:rPr>
        <w:t xml:space="preserve"> </w:t>
      </w:r>
      <w:r w:rsidR="00233322" w:rsidRPr="003B2233">
        <w:rPr>
          <w:rFonts w:ascii="Times New Roman" w:hAnsi="Times New Roman" w:cs="Times New Roman"/>
          <w:b/>
          <w:bCs/>
          <w:sz w:val="24"/>
          <w:szCs w:val="24"/>
        </w:rPr>
        <w:t>is</w:t>
      </w:r>
      <w:r w:rsidR="00401B7E" w:rsidRPr="003B2233">
        <w:rPr>
          <w:rFonts w:ascii="Times New Roman" w:hAnsi="Times New Roman" w:cs="Times New Roman"/>
          <w:b/>
          <w:bCs/>
          <w:sz w:val="24"/>
          <w:szCs w:val="24"/>
        </w:rPr>
        <w:t xml:space="preserve"> clinically appropriate and</w:t>
      </w:r>
      <w:r w:rsidR="00233322" w:rsidRPr="003B2233">
        <w:rPr>
          <w:rFonts w:ascii="Times New Roman" w:hAnsi="Times New Roman" w:cs="Times New Roman"/>
          <w:b/>
          <w:bCs/>
          <w:sz w:val="24"/>
          <w:szCs w:val="24"/>
        </w:rPr>
        <w:t xml:space="preserve"> </w:t>
      </w:r>
      <w:r w:rsidR="00E01124" w:rsidRPr="003B2233">
        <w:rPr>
          <w:rFonts w:ascii="Times New Roman" w:hAnsi="Times New Roman" w:cs="Times New Roman"/>
          <w:b/>
          <w:bCs/>
          <w:sz w:val="24"/>
          <w:szCs w:val="24"/>
        </w:rPr>
        <w:t>in line with</w:t>
      </w:r>
      <w:r w:rsidR="00401B7E" w:rsidRPr="003B2233">
        <w:rPr>
          <w:rFonts w:ascii="Times New Roman" w:hAnsi="Times New Roman" w:cs="Times New Roman"/>
          <w:b/>
          <w:bCs/>
          <w:sz w:val="24"/>
          <w:szCs w:val="24"/>
        </w:rPr>
        <w:t xml:space="preserve"> the statutory authority in</w:t>
      </w:r>
      <w:r w:rsidR="00E01124" w:rsidRPr="003B2233">
        <w:rPr>
          <w:rFonts w:ascii="Times New Roman" w:hAnsi="Times New Roman" w:cs="Times New Roman"/>
          <w:b/>
          <w:bCs/>
          <w:sz w:val="24"/>
          <w:szCs w:val="24"/>
        </w:rPr>
        <w:t xml:space="preserve"> the legislation passed by Congress</w:t>
      </w:r>
      <w:r w:rsidR="00287F0B" w:rsidRPr="003B2233">
        <w:rPr>
          <w:rFonts w:ascii="Times New Roman" w:hAnsi="Times New Roman" w:cs="Times New Roman"/>
          <w:b/>
          <w:bCs/>
          <w:sz w:val="24"/>
          <w:szCs w:val="24"/>
        </w:rPr>
        <w:t>.</w:t>
      </w:r>
      <w:r w:rsidR="00287F0B" w:rsidRPr="003B2233">
        <w:rPr>
          <w:rFonts w:ascii="Times New Roman" w:hAnsi="Times New Roman" w:cs="Times New Roman"/>
          <w:bCs/>
          <w:sz w:val="24"/>
          <w:szCs w:val="24"/>
        </w:rPr>
        <w:t xml:space="preserve"> </w:t>
      </w:r>
    </w:p>
    <w:p w14:paraId="751632F1" w14:textId="6FAD408F" w:rsidR="00B372CF" w:rsidRDefault="00B372CF" w:rsidP="00092FAB">
      <w:pPr>
        <w:pStyle w:val="ListParagraph"/>
        <w:rPr>
          <w:rFonts w:ascii="Times New Roman" w:hAnsi="Times New Roman" w:cs="Times New Roman"/>
          <w:sz w:val="24"/>
          <w:szCs w:val="24"/>
        </w:rPr>
      </w:pPr>
    </w:p>
    <w:p w14:paraId="0E000197" w14:textId="1355AAEC" w:rsidR="003B2233" w:rsidRDefault="00CC5697" w:rsidP="003C56CF">
      <w:pPr>
        <w:pStyle w:val="ListParagraph"/>
        <w:numPr>
          <w:ilvl w:val="1"/>
          <w:numId w:val="9"/>
        </w:numPr>
        <w:rPr>
          <w:rFonts w:ascii="Times New Roman" w:hAnsi="Times New Roman" w:cs="Times New Roman"/>
          <w:bCs/>
          <w:sz w:val="24"/>
          <w:szCs w:val="24"/>
          <w:u w:val="single"/>
        </w:rPr>
      </w:pPr>
      <w:r w:rsidRPr="003B2233">
        <w:rPr>
          <w:rFonts w:ascii="Times New Roman" w:hAnsi="Times New Roman" w:cs="Times New Roman"/>
          <w:bCs/>
          <w:sz w:val="24"/>
          <w:szCs w:val="24"/>
          <w:u w:val="single"/>
        </w:rPr>
        <w:t>C</w:t>
      </w:r>
      <w:r w:rsidR="003B2233">
        <w:rPr>
          <w:rFonts w:ascii="Times New Roman" w:hAnsi="Times New Roman" w:cs="Times New Roman"/>
          <w:bCs/>
          <w:sz w:val="24"/>
          <w:szCs w:val="24"/>
          <w:u w:val="single"/>
        </w:rPr>
        <w:t>omments on c</w:t>
      </w:r>
      <w:r w:rsidRPr="003B2233">
        <w:rPr>
          <w:rFonts w:ascii="Times New Roman" w:hAnsi="Times New Roman" w:cs="Times New Roman"/>
          <w:bCs/>
          <w:sz w:val="24"/>
          <w:szCs w:val="24"/>
          <w:u w:val="single"/>
        </w:rPr>
        <w:t>overing additional clinical scenarios under “medically necessary” authority</w:t>
      </w:r>
    </w:p>
    <w:p w14:paraId="759A5F3A" w14:textId="77777777" w:rsidR="003B2233" w:rsidRDefault="003B2233" w:rsidP="003B2233">
      <w:pPr>
        <w:pStyle w:val="ListParagraph"/>
        <w:ind w:left="1440"/>
        <w:rPr>
          <w:rFonts w:ascii="Times New Roman" w:hAnsi="Times New Roman" w:cs="Times New Roman"/>
          <w:bCs/>
          <w:sz w:val="24"/>
          <w:szCs w:val="24"/>
          <w:u w:val="single"/>
        </w:rPr>
      </w:pPr>
    </w:p>
    <w:p w14:paraId="13E8CAD2" w14:textId="77777777" w:rsidR="00D87FE4" w:rsidRDefault="00435A59" w:rsidP="003B2233">
      <w:pPr>
        <w:pStyle w:val="ListParagraph"/>
        <w:ind w:left="1440"/>
        <w:rPr>
          <w:rFonts w:ascii="Times New Roman" w:hAnsi="Times New Roman" w:cs="Times New Roman"/>
          <w:bCs/>
          <w:sz w:val="24"/>
          <w:szCs w:val="24"/>
        </w:rPr>
      </w:pPr>
      <w:r w:rsidRPr="003B2233">
        <w:rPr>
          <w:rFonts w:ascii="Times New Roman" w:hAnsi="Times New Roman" w:cs="Times New Roman"/>
          <w:bCs/>
          <w:sz w:val="24"/>
          <w:szCs w:val="24"/>
        </w:rPr>
        <w:t>CMS is seeking public comment on the clinical evidence connecting oral health care with outcomes for a number of other</w:t>
      </w:r>
      <w:r w:rsidR="0021298A" w:rsidRPr="003B2233">
        <w:rPr>
          <w:rFonts w:ascii="Times New Roman" w:hAnsi="Times New Roman" w:cs="Times New Roman"/>
          <w:bCs/>
          <w:sz w:val="24"/>
          <w:szCs w:val="24"/>
        </w:rPr>
        <w:t xml:space="preserve"> specific</w:t>
      </w:r>
      <w:r w:rsidRPr="003B2233">
        <w:rPr>
          <w:rFonts w:ascii="Times New Roman" w:hAnsi="Times New Roman" w:cs="Times New Roman"/>
          <w:bCs/>
          <w:sz w:val="24"/>
          <w:szCs w:val="24"/>
        </w:rPr>
        <w:t xml:space="preserve"> clinical scenarios, including joint replacement surgery, head and neck cancer treatment, therapies and treatments that cause immunosuppression, jaw reconstruction, and other medical and surgical procedures. CMS also asks whether there are </w:t>
      </w:r>
      <w:r w:rsidR="0021298A" w:rsidRPr="003B2233">
        <w:rPr>
          <w:rFonts w:ascii="Times New Roman" w:hAnsi="Times New Roman" w:cs="Times New Roman"/>
          <w:bCs/>
          <w:sz w:val="24"/>
          <w:szCs w:val="24"/>
        </w:rPr>
        <w:t>“</w:t>
      </w:r>
      <w:r w:rsidRPr="003B2233">
        <w:rPr>
          <w:rFonts w:ascii="Times New Roman" w:hAnsi="Times New Roman" w:cs="Times New Roman"/>
          <w:bCs/>
          <w:sz w:val="24"/>
          <w:szCs w:val="24"/>
        </w:rPr>
        <w:t>types of surgery, or clinical scenarios involving acute or chronic conditions that would have an improved patient outcome if certain dental services are furnished, such that those dental services should be considered so integral to the standard of care that the preclusion on Medicare payment should not apply</w:t>
      </w:r>
      <w:r w:rsidR="0021298A" w:rsidRPr="003B2233">
        <w:rPr>
          <w:rFonts w:ascii="Times New Roman" w:hAnsi="Times New Roman" w:cs="Times New Roman"/>
          <w:bCs/>
          <w:sz w:val="24"/>
          <w:szCs w:val="24"/>
        </w:rPr>
        <w:t>”</w:t>
      </w:r>
      <w:r w:rsidRPr="003B2233">
        <w:rPr>
          <w:rFonts w:ascii="Times New Roman" w:hAnsi="Times New Roman" w:cs="Times New Roman"/>
          <w:bCs/>
          <w:sz w:val="24"/>
          <w:szCs w:val="24"/>
        </w:rPr>
        <w:t>.</w:t>
      </w:r>
      <w:r w:rsidR="0021298A" w:rsidRPr="003B2233">
        <w:rPr>
          <w:rFonts w:ascii="Times New Roman" w:hAnsi="Times New Roman" w:cs="Times New Roman"/>
          <w:bCs/>
          <w:sz w:val="24"/>
          <w:szCs w:val="24"/>
        </w:rPr>
        <w:t xml:space="preserve"> </w:t>
      </w:r>
      <w:r w:rsidRPr="003B2233">
        <w:rPr>
          <w:rFonts w:ascii="Times New Roman" w:hAnsi="Times New Roman" w:cs="Times New Roman"/>
          <w:bCs/>
          <w:sz w:val="24"/>
          <w:szCs w:val="24"/>
        </w:rPr>
        <w:t xml:space="preserve">CMS is also seeking comment on the </w:t>
      </w:r>
      <w:r w:rsidR="0021298A" w:rsidRPr="003B2233">
        <w:rPr>
          <w:rFonts w:ascii="Times New Roman" w:hAnsi="Times New Roman" w:cs="Times New Roman"/>
          <w:bCs/>
          <w:sz w:val="24"/>
          <w:szCs w:val="24"/>
        </w:rPr>
        <w:t>“</w:t>
      </w:r>
      <w:r w:rsidRPr="003B2233">
        <w:rPr>
          <w:rFonts w:ascii="Times New Roman" w:hAnsi="Times New Roman" w:cs="Times New Roman"/>
          <w:bCs/>
          <w:sz w:val="24"/>
          <w:szCs w:val="24"/>
        </w:rPr>
        <w:t xml:space="preserve">clinical evidence supporting the necessity of oral health care </w:t>
      </w:r>
      <w:r w:rsidRPr="003B2233">
        <w:rPr>
          <w:rFonts w:ascii="Times New Roman" w:hAnsi="Times New Roman" w:cs="Times New Roman"/>
          <w:bCs/>
          <w:i/>
          <w:sz w:val="24"/>
          <w:szCs w:val="24"/>
        </w:rPr>
        <w:t>after</w:t>
      </w:r>
      <w:r w:rsidRPr="003B2233">
        <w:rPr>
          <w:rFonts w:ascii="Times New Roman" w:hAnsi="Times New Roman" w:cs="Times New Roman"/>
          <w:bCs/>
          <w:sz w:val="24"/>
          <w:szCs w:val="24"/>
        </w:rPr>
        <w:t xml:space="preserve"> the provision of certain medical procedures and treatments</w:t>
      </w:r>
      <w:r w:rsidR="0021298A" w:rsidRPr="003B2233">
        <w:rPr>
          <w:rFonts w:ascii="Times New Roman" w:hAnsi="Times New Roman" w:cs="Times New Roman"/>
          <w:bCs/>
          <w:sz w:val="24"/>
          <w:szCs w:val="24"/>
        </w:rPr>
        <w:t>”</w:t>
      </w:r>
      <w:r w:rsidRPr="003B2233">
        <w:rPr>
          <w:rFonts w:ascii="Times New Roman" w:hAnsi="Times New Roman" w:cs="Times New Roman"/>
          <w:bCs/>
          <w:sz w:val="24"/>
          <w:szCs w:val="24"/>
        </w:rPr>
        <w:t xml:space="preserve">. </w:t>
      </w:r>
    </w:p>
    <w:p w14:paraId="40E482D2" w14:textId="77777777" w:rsidR="00D87FE4" w:rsidRDefault="00D87FE4" w:rsidP="003B2233">
      <w:pPr>
        <w:pStyle w:val="ListParagraph"/>
        <w:ind w:left="1440"/>
        <w:rPr>
          <w:rFonts w:ascii="Times New Roman" w:hAnsi="Times New Roman" w:cs="Times New Roman"/>
          <w:bCs/>
          <w:sz w:val="24"/>
          <w:szCs w:val="24"/>
        </w:rPr>
      </w:pPr>
    </w:p>
    <w:p w14:paraId="627EFD26" w14:textId="206567A7" w:rsidR="003B2233" w:rsidRDefault="0021298A" w:rsidP="003B2233">
      <w:pPr>
        <w:pStyle w:val="ListParagraph"/>
        <w:ind w:left="1440"/>
        <w:rPr>
          <w:rFonts w:ascii="Times New Roman" w:hAnsi="Times New Roman" w:cs="Times New Roman"/>
          <w:b/>
          <w:bCs/>
          <w:sz w:val="24"/>
          <w:szCs w:val="24"/>
        </w:rPr>
      </w:pPr>
      <w:r w:rsidRPr="003B2233">
        <w:rPr>
          <w:rFonts w:ascii="Times New Roman" w:hAnsi="Times New Roman" w:cs="Times New Roman"/>
          <w:bCs/>
          <w:sz w:val="24"/>
          <w:szCs w:val="24"/>
        </w:rPr>
        <w:t xml:space="preserve">Our constituents have made it clear to us that access to oral health care would make a huge difference in their health outcomes, including in these instances. </w:t>
      </w:r>
      <w:r w:rsidR="003C56CF" w:rsidRPr="003B2233">
        <w:rPr>
          <w:rFonts w:ascii="Times New Roman" w:hAnsi="Times New Roman" w:cs="Times New Roman"/>
          <w:bCs/>
          <w:sz w:val="24"/>
          <w:szCs w:val="24"/>
        </w:rPr>
        <w:t xml:space="preserve">Moreover, lack of access to oral health care exacerbates health inequities in many of these disease areas, such as diabetes, heart disease, and cancer. </w:t>
      </w:r>
      <w:r w:rsidRPr="003B2233">
        <w:rPr>
          <w:rFonts w:ascii="Times New Roman" w:hAnsi="Times New Roman" w:cs="Times New Roman"/>
          <w:bCs/>
          <w:sz w:val="24"/>
          <w:szCs w:val="24"/>
        </w:rPr>
        <w:t xml:space="preserve">We also understand that clinical evidence linking oral health care to improved health outcomes is extensive in many of these </w:t>
      </w:r>
      <w:proofErr w:type="gramStart"/>
      <w:r w:rsidRPr="003B2233">
        <w:rPr>
          <w:rFonts w:ascii="Times New Roman" w:hAnsi="Times New Roman" w:cs="Times New Roman"/>
          <w:bCs/>
          <w:sz w:val="24"/>
          <w:szCs w:val="24"/>
        </w:rPr>
        <w:t>scenarios, and</w:t>
      </w:r>
      <w:proofErr w:type="gramEnd"/>
      <w:r w:rsidRPr="003B2233">
        <w:rPr>
          <w:rFonts w:ascii="Times New Roman" w:hAnsi="Times New Roman" w:cs="Times New Roman"/>
          <w:bCs/>
          <w:sz w:val="24"/>
          <w:szCs w:val="24"/>
        </w:rPr>
        <w:t xml:space="preserve"> growing quickly in others. </w:t>
      </w:r>
      <w:r w:rsidRPr="003B2233">
        <w:rPr>
          <w:rFonts w:ascii="Times New Roman" w:hAnsi="Times New Roman" w:cs="Times New Roman"/>
          <w:b/>
          <w:bCs/>
          <w:sz w:val="24"/>
          <w:szCs w:val="24"/>
        </w:rPr>
        <w:t>We encourage CMS to apply “medically necessary” authority in a</w:t>
      </w:r>
      <w:r w:rsidR="003C56CF" w:rsidRPr="003B2233">
        <w:rPr>
          <w:rFonts w:ascii="Times New Roman" w:hAnsi="Times New Roman" w:cs="Times New Roman"/>
          <w:b/>
          <w:bCs/>
          <w:sz w:val="24"/>
          <w:szCs w:val="24"/>
        </w:rPr>
        <w:t>s</w:t>
      </w:r>
      <w:r w:rsidRPr="003B2233">
        <w:rPr>
          <w:rFonts w:ascii="Times New Roman" w:hAnsi="Times New Roman" w:cs="Times New Roman"/>
          <w:b/>
          <w:bCs/>
          <w:sz w:val="24"/>
          <w:szCs w:val="24"/>
        </w:rPr>
        <w:t xml:space="preserve"> broad </w:t>
      </w:r>
      <w:r w:rsidR="003C56CF" w:rsidRPr="003B2233">
        <w:rPr>
          <w:rFonts w:ascii="Times New Roman" w:hAnsi="Times New Roman" w:cs="Times New Roman"/>
          <w:b/>
          <w:bCs/>
          <w:sz w:val="24"/>
          <w:szCs w:val="24"/>
        </w:rPr>
        <w:t xml:space="preserve">a </w:t>
      </w:r>
      <w:r w:rsidRPr="003B2233">
        <w:rPr>
          <w:rFonts w:ascii="Times New Roman" w:hAnsi="Times New Roman" w:cs="Times New Roman"/>
          <w:b/>
          <w:bCs/>
          <w:sz w:val="24"/>
          <w:szCs w:val="24"/>
        </w:rPr>
        <w:t>range of clinical scenarios</w:t>
      </w:r>
      <w:r w:rsidR="003C56CF" w:rsidRPr="003B2233">
        <w:rPr>
          <w:rFonts w:ascii="Times New Roman" w:hAnsi="Times New Roman" w:cs="Times New Roman"/>
          <w:b/>
          <w:bCs/>
          <w:sz w:val="24"/>
          <w:szCs w:val="24"/>
        </w:rPr>
        <w:t xml:space="preserve"> as possible.</w:t>
      </w:r>
    </w:p>
    <w:p w14:paraId="1D2050F7" w14:textId="588ADE4C" w:rsidR="00DE39B7" w:rsidRPr="003B2233" w:rsidRDefault="003C56CF" w:rsidP="003B2233">
      <w:pPr>
        <w:pStyle w:val="ListParagraph"/>
        <w:ind w:left="1440"/>
        <w:rPr>
          <w:rFonts w:ascii="Times New Roman" w:hAnsi="Times New Roman" w:cs="Times New Roman"/>
          <w:bCs/>
          <w:sz w:val="24"/>
          <w:szCs w:val="24"/>
          <w:u w:val="single"/>
        </w:rPr>
      </w:pPr>
      <w:r w:rsidRPr="003B2233">
        <w:rPr>
          <w:rFonts w:ascii="Times New Roman" w:hAnsi="Times New Roman" w:cs="Times New Roman"/>
          <w:b/>
          <w:bCs/>
          <w:sz w:val="24"/>
          <w:szCs w:val="24"/>
        </w:rPr>
        <w:t xml:space="preserve"> </w:t>
      </w:r>
      <w:r w:rsidR="0021298A" w:rsidRPr="003B2233">
        <w:rPr>
          <w:rFonts w:ascii="Times New Roman" w:hAnsi="Times New Roman" w:cs="Times New Roman"/>
          <w:b/>
          <w:bCs/>
          <w:sz w:val="24"/>
          <w:szCs w:val="24"/>
        </w:rPr>
        <w:t xml:space="preserve"> </w:t>
      </w:r>
    </w:p>
    <w:p w14:paraId="1800A46F" w14:textId="77777777" w:rsidR="00D87FE4" w:rsidRDefault="00543B88" w:rsidP="00D87FE4">
      <w:pPr>
        <w:pStyle w:val="ListParagraph"/>
        <w:numPr>
          <w:ilvl w:val="1"/>
          <w:numId w:val="9"/>
        </w:numPr>
        <w:rPr>
          <w:rFonts w:ascii="Times New Roman" w:hAnsi="Times New Roman" w:cs="Times New Roman"/>
          <w:bCs/>
          <w:sz w:val="24"/>
          <w:szCs w:val="24"/>
          <w:u w:val="single"/>
        </w:rPr>
      </w:pPr>
      <w:r w:rsidRPr="00D87FE4">
        <w:rPr>
          <w:rFonts w:ascii="Times New Roman" w:hAnsi="Times New Roman" w:cs="Times New Roman"/>
          <w:bCs/>
          <w:sz w:val="24"/>
          <w:szCs w:val="24"/>
          <w:u w:val="single"/>
        </w:rPr>
        <w:t>Establishment of a Process to Consider Additional Clinical Scenarios for Future Updates.</w:t>
      </w:r>
    </w:p>
    <w:p w14:paraId="7D5C6B43" w14:textId="77777777" w:rsidR="00D87FE4" w:rsidRDefault="00D87FE4" w:rsidP="00D87FE4">
      <w:pPr>
        <w:pStyle w:val="ListParagraph"/>
        <w:ind w:left="1440"/>
        <w:rPr>
          <w:rFonts w:ascii="Times New Roman" w:hAnsi="Times New Roman" w:cs="Times New Roman"/>
          <w:bCs/>
          <w:sz w:val="24"/>
          <w:szCs w:val="24"/>
          <w:u w:val="single"/>
        </w:rPr>
      </w:pPr>
    </w:p>
    <w:p w14:paraId="079D8EB6" w14:textId="2BDCFAFB" w:rsidR="00E756F3" w:rsidRPr="00D87FE4" w:rsidRDefault="00B6453F" w:rsidP="00D87FE4">
      <w:pPr>
        <w:pStyle w:val="ListParagraph"/>
        <w:ind w:left="1440"/>
        <w:rPr>
          <w:rFonts w:ascii="Times New Roman" w:hAnsi="Times New Roman" w:cs="Times New Roman"/>
          <w:bCs/>
          <w:sz w:val="24"/>
          <w:szCs w:val="24"/>
          <w:u w:val="single"/>
        </w:rPr>
      </w:pPr>
      <w:r w:rsidRPr="00D87FE4">
        <w:rPr>
          <w:rFonts w:ascii="Times New Roman" w:hAnsi="Times New Roman" w:cs="Times New Roman"/>
          <w:sz w:val="24"/>
          <w:szCs w:val="24"/>
        </w:rPr>
        <w:t xml:space="preserve">CMS proposes the establishment of a process </w:t>
      </w:r>
      <w:r w:rsidR="00E73FC1" w:rsidRPr="00D87FE4">
        <w:rPr>
          <w:rFonts w:ascii="Times New Roman" w:hAnsi="Times New Roman" w:cs="Times New Roman"/>
          <w:sz w:val="24"/>
          <w:szCs w:val="24"/>
        </w:rPr>
        <w:t xml:space="preserve">within the annual rulemaking cycle </w:t>
      </w:r>
      <w:r w:rsidRPr="00D87FE4">
        <w:rPr>
          <w:rFonts w:ascii="Times New Roman" w:hAnsi="Times New Roman" w:cs="Times New Roman"/>
          <w:sz w:val="24"/>
          <w:szCs w:val="24"/>
        </w:rPr>
        <w:t>by which the agency would review</w:t>
      </w:r>
      <w:r w:rsidR="004755ED" w:rsidRPr="00D87FE4">
        <w:rPr>
          <w:rFonts w:ascii="Times New Roman" w:hAnsi="Times New Roman" w:cs="Times New Roman"/>
          <w:sz w:val="24"/>
          <w:szCs w:val="24"/>
        </w:rPr>
        <w:t xml:space="preserve"> and consider</w:t>
      </w:r>
      <w:r w:rsidRPr="00D87FE4">
        <w:rPr>
          <w:rFonts w:ascii="Times New Roman" w:hAnsi="Times New Roman" w:cs="Times New Roman"/>
          <w:sz w:val="24"/>
          <w:szCs w:val="24"/>
        </w:rPr>
        <w:t xml:space="preserve"> additional clinical scenarios </w:t>
      </w:r>
      <w:r w:rsidR="00D87FE4">
        <w:rPr>
          <w:rFonts w:ascii="Times New Roman" w:hAnsi="Times New Roman" w:cs="Times New Roman"/>
          <w:sz w:val="24"/>
          <w:szCs w:val="24"/>
        </w:rPr>
        <w:t xml:space="preserve">that may fall under this “medically necessary” dental authority. </w:t>
      </w:r>
      <w:r w:rsidR="003C56CF" w:rsidRPr="00D87FE4">
        <w:rPr>
          <w:rFonts w:ascii="Times New Roman" w:hAnsi="Times New Roman" w:cs="Times New Roman"/>
          <w:sz w:val="24"/>
          <w:szCs w:val="24"/>
        </w:rPr>
        <w:t xml:space="preserve">Given the breadth of health issues connected to oral health and proper oral health care, the “medically necessary” coverage standard needs to be able to keep up with growing clinical evidence and evolving standards of care in order to be meaningful to our constituents. </w:t>
      </w:r>
      <w:r w:rsidR="00E73FC1" w:rsidRPr="00D87FE4">
        <w:rPr>
          <w:rFonts w:ascii="Times New Roman" w:hAnsi="Times New Roman" w:cs="Times New Roman"/>
          <w:sz w:val="24"/>
          <w:szCs w:val="24"/>
        </w:rPr>
        <w:t xml:space="preserve"> </w:t>
      </w:r>
      <w:r w:rsidR="00DA7639" w:rsidRPr="00D87FE4">
        <w:rPr>
          <w:rFonts w:ascii="Times New Roman" w:hAnsi="Times New Roman" w:cs="Times New Roman"/>
          <w:b/>
          <w:bCs/>
          <w:sz w:val="24"/>
          <w:szCs w:val="24"/>
        </w:rPr>
        <w:t xml:space="preserve">We strongly support CMS’s proposal to implement a process that provides for the future review and addition of further clinical scenarios </w:t>
      </w:r>
      <w:r w:rsidR="00287F0B" w:rsidRPr="00D87FE4">
        <w:rPr>
          <w:rFonts w:ascii="Times New Roman" w:hAnsi="Times New Roman" w:cs="Times New Roman"/>
          <w:b/>
          <w:bCs/>
          <w:sz w:val="24"/>
          <w:szCs w:val="24"/>
        </w:rPr>
        <w:t>that meet the criteria laid out in CMS’ proposed “m</w:t>
      </w:r>
      <w:r w:rsidR="00DA7639" w:rsidRPr="00D87FE4">
        <w:rPr>
          <w:rFonts w:ascii="Times New Roman" w:hAnsi="Times New Roman" w:cs="Times New Roman"/>
          <w:b/>
          <w:bCs/>
          <w:sz w:val="24"/>
          <w:szCs w:val="24"/>
        </w:rPr>
        <w:t>edically necessary”</w:t>
      </w:r>
      <w:r w:rsidR="00287F0B" w:rsidRPr="00D87FE4">
        <w:rPr>
          <w:rFonts w:ascii="Times New Roman" w:hAnsi="Times New Roman" w:cs="Times New Roman"/>
          <w:b/>
          <w:bCs/>
          <w:sz w:val="24"/>
          <w:szCs w:val="24"/>
        </w:rPr>
        <w:t xml:space="preserve"> dental coverage</w:t>
      </w:r>
      <w:r w:rsidR="00DA7639" w:rsidRPr="00D87FE4">
        <w:rPr>
          <w:rFonts w:ascii="Times New Roman" w:hAnsi="Times New Roman" w:cs="Times New Roman"/>
          <w:b/>
          <w:bCs/>
          <w:sz w:val="24"/>
          <w:szCs w:val="24"/>
        </w:rPr>
        <w:t xml:space="preserve"> authorit</w:t>
      </w:r>
      <w:r w:rsidR="00287F0B" w:rsidRPr="00D87FE4">
        <w:rPr>
          <w:rFonts w:ascii="Times New Roman" w:hAnsi="Times New Roman" w:cs="Times New Roman"/>
          <w:b/>
          <w:bCs/>
          <w:sz w:val="24"/>
          <w:szCs w:val="24"/>
        </w:rPr>
        <w:t>y.</w:t>
      </w:r>
      <w:r w:rsidR="003C56CF" w:rsidRPr="00D87FE4">
        <w:rPr>
          <w:rFonts w:ascii="Times New Roman" w:hAnsi="Times New Roman" w:cs="Times New Roman"/>
          <w:b/>
          <w:bCs/>
          <w:sz w:val="24"/>
          <w:szCs w:val="24"/>
        </w:rPr>
        <w:t xml:space="preserve"> </w:t>
      </w:r>
    </w:p>
    <w:p w14:paraId="6012E0AA" w14:textId="573609AA" w:rsidR="00B6453F" w:rsidRPr="00B6453F" w:rsidRDefault="00B6453F" w:rsidP="003C56CF"/>
    <w:p w14:paraId="1FA50164" w14:textId="77777777" w:rsidR="00F37645" w:rsidRDefault="00FC028C" w:rsidP="00FC028C">
      <w:pPr>
        <w:rPr>
          <w:rFonts w:ascii="Times New Roman" w:hAnsi="Times New Roman" w:cs="Times New Roman"/>
          <w:b/>
          <w:bCs/>
          <w:sz w:val="24"/>
          <w:szCs w:val="24"/>
        </w:rPr>
      </w:pPr>
      <w:r w:rsidRPr="00F37645">
        <w:rPr>
          <w:rFonts w:ascii="Times New Roman" w:hAnsi="Times New Roman" w:cs="Times New Roman"/>
          <w:b/>
          <w:bCs/>
          <w:sz w:val="24"/>
          <w:szCs w:val="24"/>
        </w:rPr>
        <w:t xml:space="preserve">Conclusion </w:t>
      </w:r>
    </w:p>
    <w:p w14:paraId="49CEDB8E" w14:textId="2486F16E" w:rsidR="00FC028C" w:rsidRPr="00D87FE4" w:rsidRDefault="008C66BD" w:rsidP="00FC028C">
      <w:pPr>
        <w:rPr>
          <w:rFonts w:ascii="Times New Roman" w:hAnsi="Times New Roman" w:cs="Times New Roman"/>
          <w:b/>
          <w:bCs/>
          <w:sz w:val="24"/>
          <w:szCs w:val="24"/>
        </w:rPr>
      </w:pPr>
      <w:r w:rsidRPr="008C66BD">
        <w:rPr>
          <w:rFonts w:ascii="Times New Roman" w:hAnsi="Times New Roman" w:cs="Times New Roman"/>
          <w:b/>
          <w:bCs/>
          <w:sz w:val="24"/>
          <w:szCs w:val="24"/>
          <w:highlight w:val="cyan"/>
        </w:rPr>
        <w:t>[insert organization</w:t>
      </w:r>
      <w:proofErr w:type="gramStart"/>
      <w:r w:rsidRPr="008C66BD">
        <w:rPr>
          <w:rFonts w:ascii="Times New Roman" w:hAnsi="Times New Roman" w:cs="Times New Roman"/>
          <w:b/>
          <w:bCs/>
          <w:sz w:val="24"/>
          <w:szCs w:val="24"/>
          <w:highlight w:val="cyan"/>
        </w:rPr>
        <w:t>/”I</w:t>
      </w:r>
      <w:proofErr w:type="gramEnd"/>
      <w:r w:rsidRPr="008C66BD">
        <w:rPr>
          <w:rFonts w:ascii="Times New Roman" w:hAnsi="Times New Roman" w:cs="Times New Roman"/>
          <w:b/>
          <w:bCs/>
          <w:sz w:val="24"/>
          <w:szCs w:val="24"/>
          <w:highlight w:val="cyan"/>
        </w:rPr>
        <w:t>”]</w:t>
      </w:r>
      <w:r>
        <w:rPr>
          <w:rFonts w:ascii="Times New Roman" w:hAnsi="Times New Roman" w:cs="Times New Roman"/>
          <w:b/>
          <w:bCs/>
          <w:sz w:val="24"/>
          <w:szCs w:val="24"/>
        </w:rPr>
        <w:t xml:space="preserve"> </w:t>
      </w:r>
      <w:r w:rsidR="00DA7639">
        <w:rPr>
          <w:rFonts w:ascii="Times New Roman" w:hAnsi="Times New Roman" w:cs="Times New Roman"/>
          <w:sz w:val="24"/>
          <w:szCs w:val="24"/>
        </w:rPr>
        <w:t>appreciate</w:t>
      </w:r>
      <w:r>
        <w:rPr>
          <w:rFonts w:ascii="Times New Roman" w:hAnsi="Times New Roman" w:cs="Times New Roman"/>
          <w:sz w:val="24"/>
          <w:szCs w:val="24"/>
        </w:rPr>
        <w:t>s</w:t>
      </w:r>
      <w:r w:rsidR="00FC028C" w:rsidRPr="00FC028C">
        <w:rPr>
          <w:rFonts w:ascii="Times New Roman" w:hAnsi="Times New Roman" w:cs="Times New Roman"/>
          <w:sz w:val="24"/>
          <w:szCs w:val="24"/>
        </w:rPr>
        <w:t xml:space="preserve"> the opportunity to provide comments about these </w:t>
      </w:r>
      <w:r w:rsidR="00FC028C" w:rsidRPr="00B372CF">
        <w:rPr>
          <w:rFonts w:ascii="Times New Roman" w:hAnsi="Times New Roman" w:cs="Times New Roman"/>
          <w:sz w:val="24"/>
          <w:szCs w:val="24"/>
        </w:rPr>
        <w:t xml:space="preserve">proposed rules. </w:t>
      </w:r>
      <w:r w:rsidR="005B2ADB" w:rsidRPr="00B372CF">
        <w:rPr>
          <w:rFonts w:ascii="Times New Roman" w:hAnsi="Times New Roman" w:cs="Times New Roman"/>
          <w:sz w:val="24"/>
          <w:szCs w:val="24"/>
        </w:rPr>
        <w:t>If finalized, t</w:t>
      </w:r>
      <w:r w:rsidR="00FC028C" w:rsidRPr="00B372CF">
        <w:rPr>
          <w:rFonts w:ascii="Times New Roman" w:hAnsi="Times New Roman" w:cs="Times New Roman"/>
          <w:sz w:val="24"/>
          <w:szCs w:val="24"/>
        </w:rPr>
        <w:t xml:space="preserve">he proposed rules will </w:t>
      </w:r>
      <w:r w:rsidR="005B2ADB" w:rsidRPr="00B372CF">
        <w:rPr>
          <w:rFonts w:ascii="Times New Roman" w:hAnsi="Times New Roman" w:cs="Times New Roman"/>
          <w:sz w:val="24"/>
          <w:szCs w:val="24"/>
        </w:rPr>
        <w:t xml:space="preserve">make a considerable difference for our nation’s older adults and people with disabilities who are struggling to afford and access the oral health care they need to stay healthy. </w:t>
      </w:r>
      <w:r w:rsidR="006029CE" w:rsidRPr="006029CE">
        <w:rPr>
          <w:rFonts w:ascii="Times New Roman" w:hAnsi="Times New Roman" w:cs="Times New Roman"/>
          <w:sz w:val="24"/>
          <w:szCs w:val="24"/>
        </w:rPr>
        <w:t xml:space="preserve">We are grateful to </w:t>
      </w:r>
      <w:proofErr w:type="gramStart"/>
      <w:r w:rsidR="006029CE" w:rsidRPr="006029CE">
        <w:rPr>
          <w:rFonts w:ascii="Times New Roman" w:hAnsi="Times New Roman" w:cs="Times New Roman"/>
          <w:sz w:val="24"/>
          <w:szCs w:val="24"/>
        </w:rPr>
        <w:t>Administrative</w:t>
      </w:r>
      <w:proofErr w:type="gramEnd"/>
      <w:r w:rsidR="006029CE" w:rsidRPr="006029CE">
        <w:rPr>
          <w:rFonts w:ascii="Times New Roman" w:hAnsi="Times New Roman" w:cs="Times New Roman"/>
          <w:sz w:val="24"/>
          <w:szCs w:val="24"/>
        </w:rPr>
        <w:t xml:space="preserve"> officials, the scores of advocates, and Members of Congress, who have worked for years to get us to this point.</w:t>
      </w:r>
      <w:r w:rsidR="006029CE">
        <w:rPr>
          <w:rFonts w:ascii="Times New Roman" w:hAnsi="Times New Roman" w:cs="Times New Roman"/>
          <w:sz w:val="24"/>
          <w:szCs w:val="24"/>
        </w:rPr>
        <w:t xml:space="preserve"> </w:t>
      </w:r>
      <w:r w:rsidR="00FC028C" w:rsidRPr="00FC028C">
        <w:rPr>
          <w:rFonts w:ascii="Times New Roman" w:hAnsi="Times New Roman" w:cs="Times New Roman"/>
          <w:sz w:val="24"/>
          <w:szCs w:val="24"/>
        </w:rPr>
        <w:t xml:space="preserve">For additional information, please contact </w:t>
      </w:r>
      <w:r w:rsidR="00FC028C" w:rsidRPr="00DA7639">
        <w:rPr>
          <w:rFonts w:ascii="Times New Roman" w:hAnsi="Times New Roman" w:cs="Times New Roman"/>
          <w:b/>
          <w:bCs/>
          <w:sz w:val="24"/>
          <w:szCs w:val="24"/>
          <w:highlight w:val="cyan"/>
        </w:rPr>
        <w:t xml:space="preserve">[name/title] </w:t>
      </w:r>
      <w:r w:rsidR="00D87FE4">
        <w:rPr>
          <w:rFonts w:ascii="Times New Roman" w:hAnsi="Times New Roman" w:cs="Times New Roman"/>
          <w:sz w:val="24"/>
          <w:szCs w:val="24"/>
          <w:highlight w:val="cyan"/>
        </w:rPr>
        <w:t xml:space="preserve">at </w:t>
      </w:r>
      <w:r w:rsidR="00FC028C" w:rsidRPr="00DA7639">
        <w:rPr>
          <w:rFonts w:ascii="Times New Roman" w:hAnsi="Times New Roman" w:cs="Times New Roman"/>
          <w:b/>
          <w:bCs/>
          <w:sz w:val="24"/>
          <w:szCs w:val="24"/>
          <w:highlight w:val="cyan"/>
        </w:rPr>
        <w:t>[email address].</w:t>
      </w:r>
      <w:r w:rsidR="00FC028C" w:rsidRPr="00F37645">
        <w:rPr>
          <w:rFonts w:ascii="Times New Roman" w:hAnsi="Times New Roman" w:cs="Times New Roman"/>
          <w:b/>
          <w:bCs/>
          <w:sz w:val="24"/>
          <w:szCs w:val="24"/>
        </w:rPr>
        <w:t xml:space="preserve">  </w:t>
      </w:r>
    </w:p>
    <w:p w14:paraId="1FC9B945" w14:textId="77777777" w:rsidR="00FC028C" w:rsidRPr="00FC028C" w:rsidRDefault="00FC028C" w:rsidP="00FC028C">
      <w:pPr>
        <w:rPr>
          <w:rFonts w:ascii="Times New Roman" w:hAnsi="Times New Roman" w:cs="Times New Roman"/>
          <w:sz w:val="24"/>
          <w:szCs w:val="24"/>
        </w:rPr>
      </w:pPr>
      <w:r w:rsidRPr="00FC028C">
        <w:rPr>
          <w:rFonts w:ascii="Times New Roman" w:hAnsi="Times New Roman" w:cs="Times New Roman"/>
          <w:sz w:val="24"/>
          <w:szCs w:val="24"/>
        </w:rPr>
        <w:t xml:space="preserve">Sincerely, </w:t>
      </w:r>
    </w:p>
    <w:p w14:paraId="0024B74C" w14:textId="343912B6" w:rsidR="00C47D58" w:rsidRPr="00D87FE4" w:rsidRDefault="00C21893">
      <w:pPr>
        <w:rPr>
          <w:rFonts w:ascii="Times New Roman" w:hAnsi="Times New Roman" w:cs="Times New Roman"/>
          <w:b/>
          <w:bCs/>
          <w:sz w:val="24"/>
          <w:szCs w:val="24"/>
          <w:highlight w:val="cyan"/>
        </w:rPr>
      </w:pPr>
      <w:r w:rsidRPr="00DA7639">
        <w:rPr>
          <w:rFonts w:ascii="Times New Roman" w:hAnsi="Times New Roman" w:cs="Times New Roman"/>
          <w:b/>
          <w:bCs/>
          <w:sz w:val="24"/>
          <w:szCs w:val="24"/>
          <w:highlight w:val="cyan"/>
        </w:rPr>
        <w:t>[Name, Title</w:t>
      </w:r>
      <w:r w:rsidR="008C66BD">
        <w:rPr>
          <w:rFonts w:ascii="Times New Roman" w:hAnsi="Times New Roman" w:cs="Times New Roman"/>
          <w:b/>
          <w:bCs/>
          <w:sz w:val="24"/>
          <w:szCs w:val="24"/>
          <w:highlight w:val="cyan"/>
        </w:rPr>
        <w:t xml:space="preserve">, </w:t>
      </w:r>
      <w:proofErr w:type="gramStart"/>
      <w:r w:rsidR="008C66BD">
        <w:rPr>
          <w:rFonts w:ascii="Times New Roman" w:hAnsi="Times New Roman" w:cs="Times New Roman"/>
          <w:b/>
          <w:bCs/>
          <w:sz w:val="24"/>
          <w:szCs w:val="24"/>
          <w:highlight w:val="cyan"/>
        </w:rPr>
        <w:t xml:space="preserve">Organization </w:t>
      </w:r>
      <w:r w:rsidRPr="00DA7639">
        <w:rPr>
          <w:rFonts w:ascii="Times New Roman" w:hAnsi="Times New Roman" w:cs="Times New Roman"/>
          <w:b/>
          <w:bCs/>
          <w:sz w:val="24"/>
          <w:szCs w:val="24"/>
          <w:highlight w:val="cyan"/>
        </w:rPr>
        <w:t>]</w:t>
      </w:r>
      <w:proofErr w:type="gramEnd"/>
    </w:p>
    <w:sectPr w:rsidR="00C47D58" w:rsidRPr="00D87FE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089A" w14:textId="77777777" w:rsidR="000C0E35" w:rsidRDefault="000C0E35" w:rsidP="003C56CF">
      <w:pPr>
        <w:spacing w:after="0" w:line="240" w:lineRule="auto"/>
      </w:pPr>
      <w:r>
        <w:separator/>
      </w:r>
    </w:p>
  </w:endnote>
  <w:endnote w:type="continuationSeparator" w:id="0">
    <w:p w14:paraId="05E6D219" w14:textId="77777777" w:rsidR="000C0E35" w:rsidRDefault="000C0E35" w:rsidP="003C56CF">
      <w:pPr>
        <w:spacing w:after="0" w:line="240" w:lineRule="auto"/>
      </w:pPr>
      <w:r>
        <w:continuationSeparator/>
      </w:r>
    </w:p>
  </w:endnote>
  <w:endnote w:id="1">
    <w:p w14:paraId="0D20C598" w14:textId="774B232D" w:rsidR="00D87FE4" w:rsidRPr="00392B25" w:rsidRDefault="00D87FE4">
      <w:pPr>
        <w:pStyle w:val="EndnoteText"/>
        <w:rPr>
          <w:rFonts w:ascii="Times New Roman" w:hAnsi="Times New Roman" w:cs="Times New Roman"/>
        </w:rPr>
      </w:pPr>
      <w:r>
        <w:rPr>
          <w:rStyle w:val="EndnoteReference"/>
        </w:rPr>
        <w:endnoteRef/>
      </w:r>
      <w:r>
        <w:t xml:space="preserve"> </w:t>
      </w:r>
      <w:r w:rsidRPr="00392B25">
        <w:rPr>
          <w:rFonts w:ascii="Times New Roman" w:hAnsi="Times New Roman" w:cs="Times New Roman"/>
        </w:rPr>
        <w:t xml:space="preserve">Christ, A., G. Burke and J. Goldberg. Adding a Dental Benefit to Medicare: Addressing Racial Disparities. Justice in Aging. October 2019. </w:t>
      </w:r>
      <w:hyperlink r:id="rId1" w:history="1">
        <w:r w:rsidRPr="00392B25">
          <w:rPr>
            <w:rStyle w:val="Hyperlink"/>
            <w:rFonts w:ascii="Times New Roman" w:hAnsi="Times New Roman" w:cs="Times New Roman"/>
          </w:rPr>
          <w:t>https://www.justiceinaging.org/wp-content/uploads/2019/10/Addressing-Oral-Health-Equity-by-Addinga-Dental-Benefit-to-Medicare.pdf</w:t>
        </w:r>
      </w:hyperlink>
      <w:r w:rsidRPr="00392B25">
        <w:rPr>
          <w:rFonts w:ascii="Times New Roman" w:hAnsi="Times New Roman" w:cs="Times New Roman"/>
        </w:rPr>
        <w:t xml:space="preserve">. </w:t>
      </w:r>
    </w:p>
  </w:endnote>
  <w:endnote w:id="2">
    <w:p w14:paraId="2AA98816" w14:textId="71DF22C9" w:rsidR="003C56CF" w:rsidRPr="00392B25" w:rsidRDefault="003C56CF">
      <w:pPr>
        <w:pStyle w:val="EndnoteText"/>
        <w:rPr>
          <w:rFonts w:ascii="Times New Roman" w:hAnsi="Times New Roman" w:cs="Times New Roman"/>
        </w:rPr>
      </w:pPr>
      <w:r w:rsidRPr="00392B25">
        <w:rPr>
          <w:rStyle w:val="EndnoteReference"/>
          <w:rFonts w:ascii="Times New Roman" w:hAnsi="Times New Roman" w:cs="Times New Roman"/>
        </w:rPr>
        <w:endnoteRef/>
      </w:r>
      <w:r w:rsidRPr="00392B25">
        <w:rPr>
          <w:rFonts w:ascii="Times New Roman" w:hAnsi="Times New Roman" w:cs="Times New Roman"/>
        </w:rPr>
        <w:t xml:space="preserve"> Medicare Benefit Policy Manuel, Ch. 15, § 290.</w:t>
      </w:r>
    </w:p>
  </w:endnote>
  <w:endnote w:id="3">
    <w:p w14:paraId="50B951D0" w14:textId="4FFB5480" w:rsidR="00392B25" w:rsidRDefault="00392B25">
      <w:pPr>
        <w:pStyle w:val="EndnoteText"/>
      </w:pPr>
      <w:r w:rsidRPr="00392B25">
        <w:rPr>
          <w:rStyle w:val="EndnoteReference"/>
          <w:rFonts w:ascii="Times New Roman" w:hAnsi="Times New Roman" w:cs="Times New Roman"/>
        </w:rPr>
        <w:endnoteRef/>
      </w:r>
      <w:r w:rsidRPr="00392B25">
        <w:rPr>
          <w:rFonts w:ascii="Times New Roman" w:hAnsi="Times New Roman" w:cs="Times New Roman"/>
        </w:rPr>
        <w:t xml:space="preserve"> “Medicare Coverage of Certain Dental Diseases.” King and Spalding LLP. July 30, 2020. Available upon request. See also “Legal Memorandum: Statutory Authority Exists for Medicare to Cover Medically Necessary Oral Health Care.” Center for Medicare Advocacy. January 3, 2019. https://medicareadvocacy.org/medicare-info/dental-coverage-undermedicare/#legal-memorandum-statutory-authority-exists-for-medicare-to-cover-medically-necessary-oral-health-care.</w:t>
      </w:r>
    </w:p>
  </w:endnote>
  <w:endnote w:id="4">
    <w:p w14:paraId="1C8F6CFF" w14:textId="5A8C5A1C" w:rsidR="007D047A" w:rsidRDefault="007D047A">
      <w:pPr>
        <w:pStyle w:val="EndnoteText"/>
      </w:pPr>
      <w:r w:rsidRPr="00D87FE4">
        <w:rPr>
          <w:rStyle w:val="EndnoteReference"/>
          <w:rFonts w:ascii="Times New Roman" w:hAnsi="Times New Roman" w:cs="Times New Roman"/>
        </w:rPr>
        <w:endnoteRef/>
      </w:r>
      <w:r w:rsidRPr="00D87FE4">
        <w:rPr>
          <w:rFonts w:ascii="Times New Roman" w:hAnsi="Times New Roman" w:cs="Times New Roman"/>
        </w:rPr>
        <w:t xml:space="preserve"> Clinical Consensus on Medically Necessary Dental Care. Santa Fe Group. Accessed June 30, 2022. https://santafegroup. org/wp-content/uploads/2020/08/clinical-consensus-on-medically-necessary-dental-care.pdf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0A28" w14:textId="77777777" w:rsidR="000C0E35" w:rsidRDefault="000C0E35" w:rsidP="003C56CF">
      <w:pPr>
        <w:spacing w:after="0" w:line="240" w:lineRule="auto"/>
      </w:pPr>
      <w:r>
        <w:separator/>
      </w:r>
    </w:p>
  </w:footnote>
  <w:footnote w:type="continuationSeparator" w:id="0">
    <w:p w14:paraId="4128697F" w14:textId="77777777" w:rsidR="000C0E35" w:rsidRDefault="000C0E35" w:rsidP="003C5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F03"/>
    <w:multiLevelType w:val="hybridMultilevel"/>
    <w:tmpl w:val="F022CF94"/>
    <w:lvl w:ilvl="0" w:tplc="D9BCBD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87C3C"/>
    <w:multiLevelType w:val="hybridMultilevel"/>
    <w:tmpl w:val="A1CA4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522CF0"/>
    <w:multiLevelType w:val="hybridMultilevel"/>
    <w:tmpl w:val="A5646B2C"/>
    <w:lvl w:ilvl="0" w:tplc="75A8349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7C5FFA"/>
    <w:multiLevelType w:val="hybridMultilevel"/>
    <w:tmpl w:val="12EAEA7C"/>
    <w:lvl w:ilvl="0" w:tplc="9124B2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BC1902"/>
    <w:multiLevelType w:val="hybridMultilevel"/>
    <w:tmpl w:val="B8AC1416"/>
    <w:lvl w:ilvl="0" w:tplc="FED28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030BC"/>
    <w:multiLevelType w:val="hybridMultilevel"/>
    <w:tmpl w:val="0712B348"/>
    <w:lvl w:ilvl="0" w:tplc="8710D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33C33"/>
    <w:multiLevelType w:val="hybridMultilevel"/>
    <w:tmpl w:val="A11A08A8"/>
    <w:lvl w:ilvl="0" w:tplc="5696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22A2F"/>
    <w:multiLevelType w:val="hybridMultilevel"/>
    <w:tmpl w:val="2086F6D4"/>
    <w:lvl w:ilvl="0" w:tplc="5558A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A7D82"/>
    <w:multiLevelType w:val="hybridMultilevel"/>
    <w:tmpl w:val="031A7310"/>
    <w:lvl w:ilvl="0" w:tplc="3ADC6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6198495">
    <w:abstractNumId w:val="2"/>
  </w:num>
  <w:num w:numId="2" w16cid:durableId="244413402">
    <w:abstractNumId w:val="7"/>
  </w:num>
  <w:num w:numId="3" w16cid:durableId="239600557">
    <w:abstractNumId w:val="1"/>
  </w:num>
  <w:num w:numId="4" w16cid:durableId="1408453144">
    <w:abstractNumId w:val="4"/>
  </w:num>
  <w:num w:numId="5" w16cid:durableId="131219057">
    <w:abstractNumId w:val="5"/>
  </w:num>
  <w:num w:numId="6" w16cid:durableId="1089813334">
    <w:abstractNumId w:val="6"/>
  </w:num>
  <w:num w:numId="7" w16cid:durableId="1653026964">
    <w:abstractNumId w:val="8"/>
  </w:num>
  <w:num w:numId="8" w16cid:durableId="1615794672">
    <w:abstractNumId w:val="3"/>
  </w:num>
  <w:num w:numId="9" w16cid:durableId="31981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8C"/>
    <w:rsid w:val="00006573"/>
    <w:rsid w:val="00026434"/>
    <w:rsid w:val="00053408"/>
    <w:rsid w:val="0007048A"/>
    <w:rsid w:val="000751A9"/>
    <w:rsid w:val="0008737D"/>
    <w:rsid w:val="00092FAB"/>
    <w:rsid w:val="000C0E35"/>
    <w:rsid w:val="000D7CB0"/>
    <w:rsid w:val="000E0B77"/>
    <w:rsid w:val="000F2C09"/>
    <w:rsid w:val="00162945"/>
    <w:rsid w:val="001639D6"/>
    <w:rsid w:val="001855E8"/>
    <w:rsid w:val="00191B87"/>
    <w:rsid w:val="001937F9"/>
    <w:rsid w:val="001D26EC"/>
    <w:rsid w:val="00204E03"/>
    <w:rsid w:val="00205561"/>
    <w:rsid w:val="002105CF"/>
    <w:rsid w:val="0021298A"/>
    <w:rsid w:val="00233322"/>
    <w:rsid w:val="00235935"/>
    <w:rsid w:val="00287F0B"/>
    <w:rsid w:val="00295F5F"/>
    <w:rsid w:val="002F2C4E"/>
    <w:rsid w:val="00320789"/>
    <w:rsid w:val="0035126A"/>
    <w:rsid w:val="00375111"/>
    <w:rsid w:val="003827DF"/>
    <w:rsid w:val="00392B25"/>
    <w:rsid w:val="003A175E"/>
    <w:rsid w:val="003B2233"/>
    <w:rsid w:val="003C56CF"/>
    <w:rsid w:val="003C6786"/>
    <w:rsid w:val="003D1BC6"/>
    <w:rsid w:val="003E3BEB"/>
    <w:rsid w:val="00401B7E"/>
    <w:rsid w:val="00435A59"/>
    <w:rsid w:val="00440830"/>
    <w:rsid w:val="004444B0"/>
    <w:rsid w:val="0044542A"/>
    <w:rsid w:val="004755ED"/>
    <w:rsid w:val="004766BF"/>
    <w:rsid w:val="004814D9"/>
    <w:rsid w:val="00486F01"/>
    <w:rsid w:val="00491965"/>
    <w:rsid w:val="004A7486"/>
    <w:rsid w:val="004D71E0"/>
    <w:rsid w:val="004E678A"/>
    <w:rsid w:val="004F1165"/>
    <w:rsid w:val="00501DBC"/>
    <w:rsid w:val="00543B88"/>
    <w:rsid w:val="00571841"/>
    <w:rsid w:val="005B2ADB"/>
    <w:rsid w:val="005C4262"/>
    <w:rsid w:val="005D5123"/>
    <w:rsid w:val="005F2D8E"/>
    <w:rsid w:val="00600583"/>
    <w:rsid w:val="006029CE"/>
    <w:rsid w:val="00614EE2"/>
    <w:rsid w:val="00615F28"/>
    <w:rsid w:val="006371CE"/>
    <w:rsid w:val="00654CE1"/>
    <w:rsid w:val="00674F55"/>
    <w:rsid w:val="00691B44"/>
    <w:rsid w:val="00691DF2"/>
    <w:rsid w:val="00695B26"/>
    <w:rsid w:val="0069774C"/>
    <w:rsid w:val="006A1B70"/>
    <w:rsid w:val="006C1590"/>
    <w:rsid w:val="0073198D"/>
    <w:rsid w:val="00744694"/>
    <w:rsid w:val="00791C00"/>
    <w:rsid w:val="007A425F"/>
    <w:rsid w:val="007D047A"/>
    <w:rsid w:val="007D0A06"/>
    <w:rsid w:val="007D0BE9"/>
    <w:rsid w:val="00830372"/>
    <w:rsid w:val="00832DAC"/>
    <w:rsid w:val="00891063"/>
    <w:rsid w:val="0089198B"/>
    <w:rsid w:val="008948C7"/>
    <w:rsid w:val="008B008E"/>
    <w:rsid w:val="008B0BBC"/>
    <w:rsid w:val="008C66BD"/>
    <w:rsid w:val="00940516"/>
    <w:rsid w:val="0097574B"/>
    <w:rsid w:val="00975A8F"/>
    <w:rsid w:val="00995300"/>
    <w:rsid w:val="009A15E2"/>
    <w:rsid w:val="009B2A13"/>
    <w:rsid w:val="009D1E03"/>
    <w:rsid w:val="009E17E9"/>
    <w:rsid w:val="00A36984"/>
    <w:rsid w:val="00A57A55"/>
    <w:rsid w:val="00A72449"/>
    <w:rsid w:val="00A95B2B"/>
    <w:rsid w:val="00AB1D85"/>
    <w:rsid w:val="00AE1894"/>
    <w:rsid w:val="00B000B5"/>
    <w:rsid w:val="00B241CB"/>
    <w:rsid w:val="00B31BB4"/>
    <w:rsid w:val="00B372CF"/>
    <w:rsid w:val="00B43152"/>
    <w:rsid w:val="00B6453F"/>
    <w:rsid w:val="00B760F2"/>
    <w:rsid w:val="00B80537"/>
    <w:rsid w:val="00B866B8"/>
    <w:rsid w:val="00B93CC8"/>
    <w:rsid w:val="00BB6EA6"/>
    <w:rsid w:val="00BD42AA"/>
    <w:rsid w:val="00C07822"/>
    <w:rsid w:val="00C21893"/>
    <w:rsid w:val="00C44B3D"/>
    <w:rsid w:val="00C56DAF"/>
    <w:rsid w:val="00C6572A"/>
    <w:rsid w:val="00CC4DF9"/>
    <w:rsid w:val="00CC5697"/>
    <w:rsid w:val="00CD7D43"/>
    <w:rsid w:val="00CF7C9C"/>
    <w:rsid w:val="00D3075B"/>
    <w:rsid w:val="00D3606C"/>
    <w:rsid w:val="00D67EAE"/>
    <w:rsid w:val="00D87FE4"/>
    <w:rsid w:val="00D94B01"/>
    <w:rsid w:val="00DA7639"/>
    <w:rsid w:val="00DE0482"/>
    <w:rsid w:val="00DE39B7"/>
    <w:rsid w:val="00DF4734"/>
    <w:rsid w:val="00E01124"/>
    <w:rsid w:val="00E061D2"/>
    <w:rsid w:val="00E5272A"/>
    <w:rsid w:val="00E73FC1"/>
    <w:rsid w:val="00E756F3"/>
    <w:rsid w:val="00EA03E8"/>
    <w:rsid w:val="00EC0F0F"/>
    <w:rsid w:val="00EC1491"/>
    <w:rsid w:val="00EC6103"/>
    <w:rsid w:val="00EE75C5"/>
    <w:rsid w:val="00EF4EB5"/>
    <w:rsid w:val="00F14412"/>
    <w:rsid w:val="00F220FD"/>
    <w:rsid w:val="00F2542D"/>
    <w:rsid w:val="00F37645"/>
    <w:rsid w:val="00F72FCC"/>
    <w:rsid w:val="00F77F52"/>
    <w:rsid w:val="00F803CF"/>
    <w:rsid w:val="00F97B2B"/>
    <w:rsid w:val="00FA4EE1"/>
    <w:rsid w:val="00FB36EA"/>
    <w:rsid w:val="00FC028C"/>
    <w:rsid w:val="00FD1156"/>
    <w:rsid w:val="00FE131C"/>
    <w:rsid w:val="00FE41B1"/>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2DEE"/>
  <w15:chartTrackingRefBased/>
  <w15:docId w15:val="{436440FC-5398-40C5-B0FF-05FE366A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31C"/>
    <w:rPr>
      <w:color w:val="0563C1" w:themeColor="hyperlink"/>
      <w:u w:val="single"/>
    </w:rPr>
  </w:style>
  <w:style w:type="character" w:customStyle="1" w:styleId="UnresolvedMention1">
    <w:name w:val="Unresolved Mention1"/>
    <w:basedOn w:val="DefaultParagraphFont"/>
    <w:uiPriority w:val="99"/>
    <w:semiHidden/>
    <w:unhideWhenUsed/>
    <w:rsid w:val="00FE131C"/>
    <w:rPr>
      <w:color w:val="605E5C"/>
      <w:shd w:val="clear" w:color="auto" w:fill="E1DFDD"/>
    </w:rPr>
  </w:style>
  <w:style w:type="paragraph" w:styleId="ListParagraph">
    <w:name w:val="List Paragraph"/>
    <w:basedOn w:val="Normal"/>
    <w:uiPriority w:val="34"/>
    <w:qFormat/>
    <w:rsid w:val="00E061D2"/>
    <w:pPr>
      <w:ind w:left="720"/>
      <w:contextualSpacing/>
    </w:pPr>
  </w:style>
  <w:style w:type="character" w:styleId="CommentReference">
    <w:name w:val="annotation reference"/>
    <w:basedOn w:val="DefaultParagraphFont"/>
    <w:uiPriority w:val="99"/>
    <w:semiHidden/>
    <w:unhideWhenUsed/>
    <w:rsid w:val="00DA7639"/>
    <w:rPr>
      <w:sz w:val="16"/>
      <w:szCs w:val="16"/>
    </w:rPr>
  </w:style>
  <w:style w:type="paragraph" w:styleId="CommentText">
    <w:name w:val="annotation text"/>
    <w:basedOn w:val="Normal"/>
    <w:link w:val="CommentTextChar"/>
    <w:uiPriority w:val="99"/>
    <w:semiHidden/>
    <w:unhideWhenUsed/>
    <w:rsid w:val="00DA7639"/>
    <w:pPr>
      <w:spacing w:line="240" w:lineRule="auto"/>
    </w:pPr>
    <w:rPr>
      <w:sz w:val="20"/>
      <w:szCs w:val="20"/>
    </w:rPr>
  </w:style>
  <w:style w:type="character" w:customStyle="1" w:styleId="CommentTextChar">
    <w:name w:val="Comment Text Char"/>
    <w:basedOn w:val="DefaultParagraphFont"/>
    <w:link w:val="CommentText"/>
    <w:uiPriority w:val="99"/>
    <w:semiHidden/>
    <w:rsid w:val="00DA7639"/>
    <w:rPr>
      <w:sz w:val="20"/>
      <w:szCs w:val="20"/>
    </w:rPr>
  </w:style>
  <w:style w:type="paragraph" w:styleId="CommentSubject">
    <w:name w:val="annotation subject"/>
    <w:basedOn w:val="CommentText"/>
    <w:next w:val="CommentText"/>
    <w:link w:val="CommentSubjectChar"/>
    <w:uiPriority w:val="99"/>
    <w:semiHidden/>
    <w:unhideWhenUsed/>
    <w:rsid w:val="00DA7639"/>
    <w:rPr>
      <w:b/>
      <w:bCs/>
    </w:rPr>
  </w:style>
  <w:style w:type="character" w:customStyle="1" w:styleId="CommentSubjectChar">
    <w:name w:val="Comment Subject Char"/>
    <w:basedOn w:val="CommentTextChar"/>
    <w:link w:val="CommentSubject"/>
    <w:uiPriority w:val="99"/>
    <w:semiHidden/>
    <w:rsid w:val="00DA7639"/>
    <w:rPr>
      <w:b/>
      <w:bCs/>
      <w:sz w:val="20"/>
      <w:szCs w:val="20"/>
    </w:rPr>
  </w:style>
  <w:style w:type="paragraph" w:styleId="BalloonText">
    <w:name w:val="Balloon Text"/>
    <w:basedOn w:val="Normal"/>
    <w:link w:val="BalloonTextChar"/>
    <w:uiPriority w:val="99"/>
    <w:semiHidden/>
    <w:unhideWhenUsed/>
    <w:rsid w:val="00DA7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639"/>
    <w:rPr>
      <w:rFonts w:ascii="Segoe UI" w:hAnsi="Segoe UI" w:cs="Segoe UI"/>
      <w:sz w:val="18"/>
      <w:szCs w:val="18"/>
    </w:rPr>
  </w:style>
  <w:style w:type="paragraph" w:styleId="Revision">
    <w:name w:val="Revision"/>
    <w:hidden/>
    <w:uiPriority w:val="99"/>
    <w:semiHidden/>
    <w:rsid w:val="00AE1894"/>
    <w:pPr>
      <w:spacing w:after="0" w:line="240" w:lineRule="auto"/>
    </w:pPr>
  </w:style>
  <w:style w:type="paragraph" w:styleId="EndnoteText">
    <w:name w:val="endnote text"/>
    <w:basedOn w:val="Normal"/>
    <w:link w:val="EndnoteTextChar"/>
    <w:uiPriority w:val="99"/>
    <w:semiHidden/>
    <w:unhideWhenUsed/>
    <w:rsid w:val="003C56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56CF"/>
    <w:rPr>
      <w:sz w:val="20"/>
      <w:szCs w:val="20"/>
    </w:rPr>
  </w:style>
  <w:style w:type="character" w:styleId="EndnoteReference">
    <w:name w:val="endnote reference"/>
    <w:basedOn w:val="DefaultParagraphFont"/>
    <w:uiPriority w:val="99"/>
    <w:semiHidden/>
    <w:unhideWhenUsed/>
    <w:rsid w:val="003C56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justiceinaging.org/wp-content/uploads/2019/10/Addressing-Oral-Health-Equity-by-Addinga-Dental-Benefit-to-Medi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0BCD-9A96-42D8-BAE3-4743E5D1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1491</Words>
  <Characters>8575</Characters>
  <Application>Microsoft Office Word</Application>
  <DocSecurity>0</DocSecurity>
  <PresentationFormat>15|.DOCX</PresentationFormat>
  <Lines>153</Lines>
  <Paragraphs>42</Paragraphs>
  <ScaleCrop>false</ScaleCrop>
  <HeadingPairs>
    <vt:vector size="2" baseType="variant">
      <vt:variant>
        <vt:lpstr>Title</vt:lpstr>
      </vt:variant>
      <vt:variant>
        <vt:i4>1</vt:i4>
      </vt:variant>
    </vt:vector>
  </HeadingPairs>
  <TitlesOfParts>
    <vt:vector size="1" baseType="lpstr">
      <vt:lpstr>CMS-1770-P comments template (00559975).DOCX</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Comments_MPFS Medically Necessary Dental Coverage (longer) (00563488).DOCX</dc:title>
  <dc:subject/>
  <dc:creator>Wey-Wey Kwok</dc:creator>
  <cp:keywords/>
  <dc:description/>
  <cp:lastModifiedBy>Matt Shepard</cp:lastModifiedBy>
  <cp:revision>2</cp:revision>
  <dcterms:created xsi:type="dcterms:W3CDTF">2022-08-19T14:11:00Z</dcterms:created>
  <dcterms:modified xsi:type="dcterms:W3CDTF">2022-08-19T14:11:00Z</dcterms:modified>
</cp:coreProperties>
</file>